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spacing w:after="100"/>
      </w:pPr>
      <w:r>
        <w:rPr>
          <w:rFonts w:ascii="Tahoma" w:hAnsi="Tahoma" w:eastAsia="Tahoma" w:cs="Tahoma"/>
          <w:color w:val="1B2232"/>
          <w:sz w:val="28"/>
          <w:szCs w:val="28"/>
          <w:b/>
          <w:bCs/>
        </w:rPr>
        <w:t xml:space="preserve">PULSO NACIONAL</w:t>
      </w:r>
    </w:p>
    <w:p>
      <w:pPr/>
      <w:r>
        <w:rPr>
          <w:rFonts w:ascii="Tahoma" w:hAnsi="Tahoma" w:eastAsia="Tahoma" w:cs="Tahoma"/>
          <w:color w:val="1B2232"/>
          <w:sz w:val="20"/>
          <w:szCs w:val="20"/>
          <w:b/>
          <w:bCs/>
        </w:rPr>
        <w:t xml:space="preserve">NARCOGOBIERNOS Y CORRUPCIÓN, LAS CRÍTICAS EN DEBATE</w:t>
      </w:r>
    </w:p>
    <w:p>
      <w:pPr/>
      <w:r>
        <w:rPr/>
        <w:t xml:space="preserve">El Segundo Debate Presidencial mejoró el formato de intercambio de cuestionamientos, en el que la candidata oficialista, Claudia Sheinbaum Pardo, dedicó la mayor parte de su tiempo a la defensa del gobierno del presidente Andrés Manuel López Obrador; Xóchitl Gálvez Ruiz cuestionó y atacó casos de corrupción de la Cuarta Transformación, mientras que Jorge Álvarez Máynez se mantuvo al margen de la polémica y lució su gran sonrisa. Los Estudios Churubusco fueron el escenario de este segundo round de cara al 2 de junio, donde la guerra de letreros prevaleció, sobre todo de parte de la candidata del PRI, PAN y PRD: con algunas reacciones y letreros esporádicos de la morenista, que prefirió no subirse al ring de las acusaciones del agua de mala calidad en la Ciudad de México, la presunta corrupción de los hijos del Presidente y de la candidata al gobierno de Veracruz, Rocío Nahle. Debate largo, que fue de menos a más, que tuvo momentos ríspidos, como cuando ambas candidatas se acusaron de pertenecer o haber pertenecido a narcogobiernos", con señalamientos de mentirosas y de haber robado, sobre todo por parte de la panista, y como respuesta de Sheinbaum Pardo: la mirada fija al frente y algunas muecas de desacuerdo, pero nunca volteó a ver a su adversaria.</w:t>
      </w:r>
    </w:p>
    <w:p>
      <w:hyperlink r:id="rId7" w:history="1">
        <w:r>
          <w:rPr>
            <w:color w:val="000DFF"/>
            <w:u w:val="single"/>
          </w:rPr>
          <w:t xml:space="preserve">El Universal</w:t>
        </w:r>
      </w:hyperlink>
    </w:p>
    <w:p>
      <w:hyperlink r:id="rId8" w:history="1">
        <w:r>
          <w:rPr>
            <w:color w:val="000DFF"/>
            <w:u w:val="single"/>
          </w:rPr>
          <w:t xml:space="preserve">Reforma</w:t>
        </w:r>
      </w:hyperlink>
    </w:p>
    <w:p>
      <w:hyperlink r:id="rId9" w:history="1">
        <w:r>
          <w:rPr>
            <w:color w:val="000DFF"/>
            <w:u w:val="single"/>
          </w:rPr>
          <w:t xml:space="preserve">Excélsior</w:t>
        </w:r>
      </w:hyperlink>
    </w:p>
    <w:p>
      <w:hyperlink r:id="rId10" w:history="1">
        <w:r>
          <w:rPr>
            <w:color w:val="000DFF"/>
            <w:u w:val="single"/>
          </w:rPr>
          <w:t xml:space="preserve">El Sol de México</w:t>
        </w:r>
      </w:hyperlink>
    </w:p>
    <w:p>
      <w:hyperlink r:id="rId11" w:history="1">
        <w:r>
          <w:rPr>
            <w:color w:val="000DFF"/>
            <w:u w:val="single"/>
          </w:rPr>
          <w:t xml:space="preserve">24 Horas</w:t>
        </w:r>
      </w:hyperlink>
    </w:p>
    <w:p>
      <w:hyperlink r:id="rId12" w:history="1">
        <w:r>
          <w:rPr>
            <w:color w:val="000DFF"/>
            <w:u w:val="single"/>
          </w:rPr>
          <w:t xml:space="preserve">El Financiero</w:t>
        </w:r>
      </w:hyperlink>
    </w:p>
    <w:p>
      <w:hyperlink r:id="rId13" w:history="1">
        <w:r>
          <w:rPr>
            <w:color w:val="000DFF"/>
            <w:u w:val="single"/>
          </w:rPr>
          <w:t xml:space="preserve">La Crónica</w:t>
        </w:r>
      </w:hyperlink>
    </w:p>
    <w:p>
      <w:hyperlink r:id="rId14" w:history="1">
        <w:r>
          <w:rPr>
            <w:color w:val="000DFF"/>
            <w:u w:val="single"/>
          </w:rPr>
          <w:t xml:space="preserve">La Razón</w:t>
        </w:r>
      </w:hyperlink>
    </w:p>
    <w:p>
      <w:hyperlink r:id="rId15" w:history="1">
        <w:r>
          <w:rPr>
            <w:color w:val="000DFF"/>
            <w:u w:val="single"/>
          </w:rPr>
          <w:t xml:space="preserve">Publimetro</w:t>
        </w:r>
      </w:hyperlink>
    </w:p>
    <w:p>
      <w:hyperlink r:id="rId16" w:history="1">
        <w:r>
          <w:rPr>
            <w:color w:val="000DFF"/>
            <w:u w:val="single"/>
          </w:rPr>
          <w:t xml:space="preserve">Ovaciones</w:t>
        </w:r>
      </w:hyperlink>
    </w:p>
    <w:p>
      <w:hyperlink r:id="rId17" w:history="1">
        <w:r>
          <w:rPr>
            <w:color w:val="000DFF"/>
            <w:u w:val="single"/>
          </w:rPr>
          <w:t xml:space="preserve">Diario Imagen</w:t>
        </w:r>
      </w:hyperlink>
    </w:p>
    <w:p>
      <w:hyperlink r:id="rId18" w:history="1">
        <w:r>
          <w:rPr>
            <w:color w:val="000DFF"/>
            <w:u w:val="single"/>
          </w:rPr>
          <w:t xml:space="preserve">El Día</w:t>
        </w:r>
      </w:hyperlink>
    </w:p>
    <w:p>
      <w:hyperlink r:id="rId19" w:history="1">
        <w:r>
          <w:rPr>
            <w:color w:val="000DFF"/>
            <w:u w:val="single"/>
          </w:rPr>
          <w:t xml:space="preserve">El Heraldo de México</w:t>
        </w:r>
      </w:hyperlink>
    </w:p>
    <w:p>
      <w:pPr/>
      <w:r>
        <w:rPr>
          <w:rFonts w:ascii="Tahoma" w:hAnsi="Tahoma" w:eastAsia="Tahoma" w:cs="Tahoma"/>
          <w:color w:val="1B2232"/>
          <w:sz w:val="20"/>
          <w:szCs w:val="20"/>
          <w:b/>
          <w:bCs/>
        </w:rPr>
        <w:t xml:space="preserve">ORDENA JUEZ LIBERAR A HERMANO DEL MENCHO </w:t>
      </w:r>
    </w:p>
    <w:p>
      <w:pPr/>
      <w:r>
        <w:rPr/>
        <w:t xml:space="preserve">Por considerar que la versión de la Guardia Nacional (GN) sobre su captura presenta incongruencias e ilegalidades, un juez federal ordenó ayer la liberación de Abraham Oseguera, Don Rodo, hermano del líder del Cártel Jalisco Nueva Generación, Nemesio Oseguera. El juez Rogelio León Díaz consideró que con base en 9 videos, 9 testimonios y un peritaje, la detención no ocurrió como lo estableció la corporación federal. León resolvió no procesarlo por delitos contra la salud y portación de arma de uso exclusivo del Ejército, ya que al momento de su captura supuestamente le aseguraron 2 mil pastillas de fentanilo, 38 gramos de cocaína, un arma corta y una larga. El Informe Policial relata que el día de la detención, agentes realizaban un recorrido y detectaron a tres hombres armados que corrieron a un domicilio. Según esta versión, los agentes persiguieron en flagrancia a los sospechosos y capturaron a Don Rodo con dos armas y droga.</w:t>
      </w:r>
    </w:p>
    <w:p>
      <w:hyperlink r:id="rId20" w:history="1">
        <w:r>
          <w:rPr>
            <w:color w:val="000DFF"/>
            <w:u w:val="single"/>
          </w:rPr>
          <w:t xml:space="preserve">El Universal</w:t>
        </w:r>
      </w:hyperlink>
    </w:p>
    <w:p>
      <w:hyperlink r:id="rId21" w:history="1">
        <w:r>
          <w:rPr>
            <w:color w:val="000DFF"/>
            <w:u w:val="single"/>
          </w:rPr>
          <w:t xml:space="preserve">Reforma</w:t>
        </w:r>
      </w:hyperlink>
    </w:p>
    <w:p>
      <w:hyperlink r:id="rId22" w:history="1">
        <w:r>
          <w:rPr>
            <w:color w:val="000DFF"/>
            <w:u w:val="single"/>
          </w:rPr>
          <w:t xml:space="preserve">Milenio</w:t>
        </w:r>
      </w:hyperlink>
    </w:p>
    <w:p>
      <w:hyperlink r:id="rId23" w:history="1">
        <w:r>
          <w:rPr>
            <w:color w:val="000DFF"/>
            <w:u w:val="single"/>
          </w:rPr>
          <w:t xml:space="preserve">Diario de México</w:t>
        </w:r>
      </w:hyperlink>
    </w:p>
    <w:p>
      <w:pPr/>
      <w:r>
        <w:rPr>
          <w:rFonts w:ascii="Tahoma" w:hAnsi="Tahoma" w:eastAsia="Tahoma" w:cs="Tahoma"/>
          <w:color w:val="1B2232"/>
          <w:sz w:val="20"/>
          <w:szCs w:val="20"/>
          <w:b/>
          <w:bCs/>
        </w:rPr>
        <w:t xml:space="preserve">ENTREGARÁ CANADÁ A GENERAL TRAUWITZ </w:t>
      </w:r>
    </w:p>
    <w:p>
      <w:pPr/>
      <w:r>
        <w:rPr/>
        <w:t xml:space="preserve">El Gobierno de Canadá concedió la extradición del General Brigadier Eduardo León Trauwitz, ex subdirector de Salvaguarda Estratégica de Pemex y quien es acusado de huachicoleo, informó ayer la Fiscalía General de la República (FGR). De acuerdo con el expediente de la FGR, entre enero de 2015 y agosto de 2016, el General permitió el robo de dos ductos por más de 2 mil 194 millones de litros de hidrocarburos, con valor superior a los 25 mil 197 millones de pesos. El ex funcionario, acusado por delincuencia organizada y sustracción ilegal de hidrocarburos, fue jefe de escoltas de Enrique Peña Nieto durante su periodo como Gobernador del Estado de México y en 2012 asumió la subdirección de Salvaguarda Estratégica de Pemex. Desde esta área, encargada de combatir el robo de combustible en Pemex, el Genera brindaba supuesta protección al huachicoleo, de acuerdo con las declaraciones que rindieron tres ex elementos de Seguridad Física de Pemex, quienes acusaron que durante la gestión de Trauwitz, agentes de inteligencia de la empresa ordenaban la perforación de ductos y la apertura de tomas clandestinas.</w:t>
      </w:r>
    </w:p>
    <w:p>
      <w:hyperlink r:id="rId24" w:history="1">
        <w:r>
          <w:rPr>
            <w:color w:val="000DFF"/>
            <w:u w:val="single"/>
          </w:rPr>
          <w:t xml:space="preserve">El Universal</w:t>
        </w:r>
      </w:hyperlink>
    </w:p>
    <w:p>
      <w:hyperlink r:id="rId25" w:history="1">
        <w:r>
          <w:rPr>
            <w:color w:val="000DFF"/>
            <w:u w:val="single"/>
          </w:rPr>
          <w:t xml:space="preserve">Reforma</w:t>
        </w:r>
      </w:hyperlink>
    </w:p>
    <w:p>
      <w:hyperlink r:id="rId22" w:history="1">
        <w:r>
          <w:rPr>
            <w:color w:val="000DFF"/>
            <w:u w:val="single"/>
          </w:rPr>
          <w:t xml:space="preserve">Milenio</w:t>
        </w:r>
      </w:hyperlink>
    </w:p>
    <w:p>
      <w:pPr/>
      <w:r>
        <w:rPr>
          <w:rFonts w:ascii="Tahoma" w:hAnsi="Tahoma" w:eastAsia="Tahoma" w:cs="Tahoma"/>
          <w:color w:val="1B2232"/>
          <w:sz w:val="20"/>
          <w:szCs w:val="20"/>
          <w:b/>
          <w:bCs/>
        </w:rPr>
        <w:t xml:space="preserve">CLAUDIA VA POR UN MILLÓN DE CASAS Y 12 POLOS DE DESARROLLO </w:t>
      </w:r>
    </w:p>
    <w:p>
      <w:pPr/>
      <w:r>
        <w:rPr/>
        <w:t xml:space="preserve">Claudia Sheinbaum, candidata de Morena, PT y PVEM, se declaró ganadora del segundo debate presidencial, en el que reiteró sus propuestas en materia de crecimiento económico, empleo e inflación; infraestructura y desarrollo; pobreza y desigualdad, así como cambio climático. En el primer rubro, la abanderada de la coalición Sigamos Haciendo Historia destacó las políticas implementadas por el gobierno del presidente Andrés Manuel López Obrador. En el segundo, planteó la construcción de un millón de viviendas, lo cual, dijo, generará alrededor de dos millones de empleos durante el próximo sexenio. En el caso del nearshoring, la ex jefa de Gobierno propuso la creación de 22 polos del bienestar. "Ahora se han desarrollado 12 polos del bienestar que están vinculados con el Tren Interocéanico, ahí van a haber distintos parques industriales, uno de ellos, por cierto, de hidrógeno verde. Nosotros vamos a desarrollar otros 10 polos en todo el país para aprovechar la relocalización que se está dando en este momento", expuso. También proyectó la creación de 100 parques industriales  vinculados con vocaciones regionales, educación y desarrollo. "De eso se trata la transformación", enfatizó.</w:t>
      </w:r>
    </w:p>
    <w:p>
      <w:hyperlink r:id="rId7" w:history="1">
        <w:r>
          <w:rPr>
            <w:color w:val="000DFF"/>
            <w:u w:val="single"/>
          </w:rPr>
          <w:t xml:space="preserve">El Universal</w:t>
        </w:r>
      </w:hyperlink>
    </w:p>
    <w:p>
      <w:hyperlink r:id="rId26" w:history="1">
        <w:r>
          <w:rPr>
            <w:color w:val="000DFF"/>
            <w:u w:val="single"/>
          </w:rPr>
          <w:t xml:space="preserve">Milenio</w:t>
        </w:r>
      </w:hyperlink>
    </w:p>
    <w:p>
      <w:pPr/>
      <w:r>
        <w:rPr>
          <w:rFonts w:ascii="Tahoma" w:hAnsi="Tahoma" w:eastAsia="Tahoma" w:cs="Tahoma"/>
          <w:color w:val="1B2232"/>
          <w:sz w:val="20"/>
          <w:szCs w:val="20"/>
          <w:b/>
          <w:bCs/>
        </w:rPr>
        <w:t xml:space="preserve">PROMETE GÁLVEZ APLICAR LA AUSTERIDAD DE A DE VERAS </w:t>
      </w:r>
    </w:p>
    <w:p>
      <w:pPr/>
      <w:r>
        <w:rPr/>
        <w:t xml:space="preserve">La candidata de la coalición Fuerza y Corazón por México, Xóchitl Gálvez, se comprometió a no aliarse "con el crimen organizado" y "austeridad de a de veras". En el segundo debate presidencial organizado por el Instituto Nacional Electoral (INE) en los Estudios Churubusco, prometió que de ganar los comicios tendrá cero tolerancia a la evasión fiscal, al tiempo que recordó a la candidata de Morena, Claudia Sheinbaum, que su ex esposo Carlos Imaz recibió sobornos cuando fue funcionario capitalino. Al llamar a Sheinbaum "la candidata de las mentiras" a causa del "alto grado de contaminación del agua" de Ciudad de México, indicó que cuando gane la Presidencia y Santiago Taboada la Jefatura de Gobierno trabajarán para potabilizar el líquido. Asimismo, señaló que en Petróleos Mexicanos (Pemex) se han invertido en este sexenio cerca de 2 billones de pesos que, acusó, han resultado en pérdidas para el país, por lo que la candidata se comprometió a modernizar la paraestatal y aplicarle "austeridad de a de veras".</w:t>
      </w:r>
    </w:p>
    <w:p>
      <w:hyperlink r:id="rId8" w:history="1">
        <w:r>
          <w:rPr>
            <w:color w:val="000DFF"/>
            <w:u w:val="single"/>
          </w:rPr>
          <w:t xml:space="preserve">Reforma</w:t>
        </w:r>
      </w:hyperlink>
    </w:p>
    <w:p>
      <w:hyperlink r:id="rId26" w:history="1">
        <w:r>
          <w:rPr>
            <w:color w:val="000DFF"/>
            <w:u w:val="single"/>
          </w:rPr>
          <w:t xml:space="preserve">Milenio</w:t>
        </w:r>
      </w:hyperlink>
    </w:p>
    <w:p>
      <w:pPr/>
      <w:r>
        <w:rPr>
          <w:rFonts w:ascii="Tahoma" w:hAnsi="Tahoma" w:eastAsia="Tahoma" w:cs="Tahoma"/>
          <w:color w:val="1B2232"/>
          <w:sz w:val="20"/>
          <w:szCs w:val="20"/>
          <w:b/>
          <w:bCs/>
        </w:rPr>
        <w:t xml:space="preserve">GOBERNAR COMO EN JALISCO Y NL, OFRECE ÁLVAREZ MÁYNEZ </w:t>
      </w:r>
    </w:p>
    <w:p>
      <w:pPr/>
      <w:r>
        <w:rPr/>
        <w:t xml:space="preserve">Gobernar sin colores partidistas, pero con "sello de Jalisco y Nuevo León" fue la promesa principal de Jorge Álvarez Máynez, candidato presidencial de Movimiento Ciudadano. Además ofreció dar continuidad a las grandes obras de la actual administración y enfatizó propuestas con el concepto de "justicia intergeneracional" en materia de desigualdad, agua y cuidado al medio ambiente. "Jalisco y Nuevo León han emprendido un modelo que han dado resultados con inversión y empleos dignos a la gente (?) el siguiente año me tocará gobernar con mayoría de Morena y no lo haremos con colores ni con distingos, a todos esos estados les va a ir bien", mencionó. Durante el segundo debate presidencial, esta vez desde los Estudios Churubusco, el abanderado emecista se concentró en posicionar sus propuestas, contestar las preguntas videograbadas y lamentó que por momentos sus rivales omitieran el debate por "concentrarse en acusaciones".</w:t>
      </w:r>
    </w:p>
    <w:p>
      <w:hyperlink r:id="rId27" w:history="1">
        <w:r>
          <w:rPr>
            <w:color w:val="000DFF"/>
            <w:u w:val="single"/>
          </w:rPr>
          <w:t xml:space="preserve">El Universal</w:t>
        </w:r>
      </w:hyperlink>
    </w:p>
    <w:p>
      <w:hyperlink r:id="rId26" w:history="1">
        <w:r>
          <w:rPr>
            <w:color w:val="000DFF"/>
            <w:u w:val="single"/>
          </w:rPr>
          <w:t xml:space="preserve">Milenio</w:t>
        </w:r>
      </w:hyperlink>
    </w:p>
    <w:p>
      <w:pPr>
        <w:jc w:val="center"/>
        <w:spacing w:after="100"/>
      </w:pPr>
      <w:r>
        <w:rPr>
          <w:rFonts w:ascii="Tahoma" w:hAnsi="Tahoma" w:eastAsia="Tahoma" w:cs="Tahoma"/>
          <w:color w:val="1B2232"/>
          <w:sz w:val="28"/>
          <w:szCs w:val="28"/>
          <w:b/>
          <w:bCs/>
        </w:rPr>
        <w:t xml:space="preserve">CRÓNICA LEGISLATIVA Y JURIDICA</w:t>
      </w:r>
    </w:p>
    <w:p>
      <w:pPr/>
      <w:r>
        <w:rPr>
          <w:rFonts w:ascii="Tahoma" w:hAnsi="Tahoma" w:eastAsia="Tahoma" w:cs="Tahoma"/>
          <w:color w:val="1B2232"/>
          <w:sz w:val="20"/>
          <w:szCs w:val="20"/>
          <w:b/>
          <w:bCs/>
        </w:rPr>
        <w:t xml:space="preserve">EXIGIRÁ OPOSICIÓN A SEP QUE MÉXICO VUELVA A PARTICIPAR EN PRUEBA PISA</w:t>
      </w:r>
    </w:p>
    <w:p>
      <w:pPr/>
      <w:r>
        <w:rPr/>
        <w:t xml:space="preserve">Dirigentes nacionales y líderes parlamentarios de la oposición del PAN, PRI y PRD en la Cámara de Diputados anunciaron que ejercerán presión sobre la Secretaría de Educación Pública (SEP), para ir por la prueba Pisa de la OCDE. Adelantaron que, además de que solicitarán la comparecencia de la titular de Educación Pública, Leticia Ramírez, ante la Comisión Permanente del Congreso de la Unión en el periodo de receso legislativo que inicia ya a partir de esta semana presentarán diversos puntos de acuerdo para obligar al gobierno de México a cumplir con el compromiso ante la Organización para la Cooperación y el Desarrollo Económicos. Luego de que el organismo internacional confirmara que México no ha iniciado los trámites para la prueba, el presidente de la Junta de Coordinación Política y coordinador parlamentario del PAN en la Cámara baja, Jorge Romero, afirmó que la prueba Pisa es todo un referente mundial para evaluar la preparación de los estudiantes. El coordinador priista, Rubén Moreira, argumentó que el rezago es inocultable, no lo requiere reconocer el gobierno de Morena y por eso se opone a una evaluación de la OCDE.</w:t>
      </w:r>
    </w:p>
    <w:p>
      <w:hyperlink r:id="rId28" w:history="1">
        <w:r>
          <w:rPr>
            <w:color w:val="000DFF"/>
            <w:u w:val="single"/>
          </w:rPr>
          <w:t xml:space="preserve">El Universal</w:t>
        </w:r>
      </w:hyperlink>
    </w:p>
    <w:p>
      <w:hyperlink r:id="rId29" w:history="1">
        <w:r>
          <w:rPr>
            <w:color w:val="000DFF"/>
            <w:u w:val="single"/>
          </w:rPr>
          <w:t xml:space="preserve">El Financiero</w:t>
        </w:r>
      </w:hyperlink>
    </w:p>
    <w:p>
      <w:hyperlink r:id="rId30" w:history="1">
        <w:r>
          <w:rPr>
            <w:color w:val="000DFF"/>
            <w:u w:val="single"/>
          </w:rPr>
          <w:t xml:space="preserve">El Día</w:t>
        </w:r>
      </w:hyperlink>
    </w:p>
    <w:p>
      <w:pPr/>
      <w:r>
        <w:rPr>
          <w:rFonts w:ascii="Tahoma" w:hAnsi="Tahoma" w:eastAsia="Tahoma" w:cs="Tahoma"/>
          <w:color w:val="1B2232"/>
          <w:sz w:val="20"/>
          <w:szCs w:val="20"/>
          <w:b/>
          <w:bCs/>
        </w:rPr>
        <w:t xml:space="preserve">LLAMAN A MEJORAR TRATAMIENTOS MENTALES</w:t>
      </w:r>
    </w:p>
    <w:p>
      <w:pPr/>
      <w:r>
        <w:rPr/>
        <w:t xml:space="preserve">La Senadora del Partido Verde, María Graciela Gaitán, exhortó a la Secretaría de Salud, al Instituto Mexicano del Seguro Social (IMSS) y al Instituto de Seguridad y Servicios Sociales de los Trabajadores del Estado (ISSSTE) a mejorar el tratamiento de enfermedades mentales en México, esto como respuesta a datos que indican que uno de cada cuatro mexicanos, entre 18 y 65 años, ha padecido algún trastorno mental en algún momento de su vida, sólo uno de cada cinco recibe tratamiento. La legisladora ecologista destacó la importancia de brindar un tratamiento especializado y de calidad, así como con un trato respetuoso y humanitario a todas las personas que padecen enfermedades mentales en el país. Además, pidió garantizar el abasto de medicamentos para trastornos como la depresión, la ansiedad, la esquizofrenia y el trastorno límite de personalidad, con el fin de mejorar la calidad de vida de quienes los padecen. De acuerdo con cifras del gobierno federal, estas enfermedades son controlables con tratamiento médico adecuado, que puede ser proporcionado en los diferentes hospitales e institutos de alta especialidad.</w:t>
      </w:r>
    </w:p>
    <w:p>
      <w:hyperlink r:id="rId31" w:history="1">
        <w:r>
          <w:rPr>
            <w:color w:val="000DFF"/>
            <w:u w:val="single"/>
          </w:rPr>
          <w:t xml:space="preserve">Excélsior</w:t>
        </w:r>
      </w:hyperlink>
    </w:p>
    <w:p>
      <w:pPr/>
      <w:r>
        <w:rPr>
          <w:rFonts w:ascii="Tahoma" w:hAnsi="Tahoma" w:eastAsia="Tahoma" w:cs="Tahoma"/>
          <w:color w:val="1B2232"/>
          <w:sz w:val="20"/>
          <w:szCs w:val="20"/>
          <w:b/>
          <w:bCs/>
        </w:rPr>
        <w:t xml:space="preserve">URGE INE A PRESIDENCIA A RECORTAR MAÑANERAS </w:t>
      </w:r>
    </w:p>
    <w:p>
      <w:pPr/>
      <w:r>
        <w:rPr/>
        <w:t xml:space="preserve">Por segunda ocasión, el INE ordenó al vocero Jesús Ramírez Cuevas recortar el contenido prohibido en campaña y temas electorales de las conferencias matutinas del Presidente Andrés Manuel López Obrador, o fragmentos de éstas, que coloca en cuentas y páginas oficiales. Lo anterior luego de que la Sala Superior del Tribunal Electoral le ordenara a la Comisión de Quejas pronunciarse sobre si el vocero tiene la obligación de que no se difunda ningún contenido que constituya infracciones a la normativa electoral. Se ordena al titular de la Coordinación de Comunicación Social que previo a subir a los medios digitales de difusión oficiales, así como el sitio de internet oficial y página del Gobierno de México, revisar y, en su caso editar, el contenido de las mañaneras a fin de eliminar las expresiones que constituyen infracciones a la normativa electoral. Lo anterior porque existe una prohibición constitucional de difundir propaganda gubernamental durante el periodo de campañas electorales distintas a las exceptuadas en el artículo 41 constitucional, indica el acuerdo de Comisión de Quejas, aprobado por dos votos a favor y uno en contra.</w:t>
      </w:r>
    </w:p>
    <w:p>
      <w:hyperlink r:id="rId25" w:history="1">
        <w:r>
          <w:rPr>
            <w:color w:val="000DFF"/>
            <w:u w:val="single"/>
          </w:rPr>
          <w:t xml:space="preserve">Reforma</w:t>
        </w:r>
      </w:hyperlink>
    </w:p>
    <w:p>
      <w:hyperlink r:id="rId32" w:history="1">
        <w:r>
          <w:rPr>
            <w:color w:val="000DFF"/>
            <w:u w:val="single"/>
          </w:rPr>
          <w:t xml:space="preserve">Milenio</w:t>
        </w:r>
      </w:hyperlink>
    </w:p>
    <w:p>
      <w:pPr/>
      <w:r>
        <w:rPr>
          <w:rFonts w:ascii="Tahoma" w:hAnsi="Tahoma" w:eastAsia="Tahoma" w:cs="Tahoma"/>
          <w:color w:val="1B2232"/>
          <w:sz w:val="20"/>
          <w:szCs w:val="20"/>
          <w:b/>
          <w:bCs/>
        </w:rPr>
        <w:t xml:space="preserve">CORTE ANALIZA PRIMER CASO DE DESPLAZAMIENTO FORZADO </w:t>
      </w:r>
    </w:p>
    <w:p>
      <w:pPr/>
      <w:r>
        <w:rPr/>
        <w:t xml:space="preserve">El tema del desplazamiento forzado interno en México será discutido en la Suprema Corte de Justicia de la Nación (SCJN), ya que abordará el primer caso. Se trata de una familia del norte del país que en 2010 fue víctima de extorsión, secuestro, asesinato y otros delitos por parte del crimen organizado, por lo que en 2013 se vio obligada a irse a otras regiones del país. El asunto pasó por las fiscalías estatales, la entonces Procuraduría General de la República (PGR), la Comisión Nacional de Derechos Humanos (CNDH) y por la Comisión Ejecutiva de Atención a Víctimas (CEAV); a esta la familia le ha reclamado omitir una resolución en materia de reparación para su caso a pesar de contar con un amplio expediente. El próximo 8 de mayo, el ministro Jorge Mario Pardo Rebolledo presentará a la Primera Sala de la Corte un proyecto de sentencia donde propone amparar a los integrantes de esa familia, que, de acuerdo con la recomendación 94/2019 de la CNDH, se trata de 67 personas de nueve núcleos familiares que vivían en los municipios de Saucillo, Delicias, La Cruz y Chihuahua, donde realizaban actividades de comercio.</w:t>
      </w:r>
    </w:p>
    <w:p>
      <w:hyperlink r:id="rId33" w:history="1">
        <w:r>
          <w:rPr>
            <w:color w:val="000DFF"/>
            <w:u w:val="single"/>
          </w:rPr>
          <w:t xml:space="preserve">Milenio</w:t>
        </w:r>
      </w:hyperlink>
    </w:p>
    <w:p>
      <w:pPr/>
      <w:r>
        <w:rPr>
          <w:rFonts w:ascii="Tahoma" w:hAnsi="Tahoma" w:eastAsia="Tahoma" w:cs="Tahoma"/>
          <w:color w:val="1B2232"/>
          <w:sz w:val="20"/>
          <w:szCs w:val="20"/>
          <w:b/>
          <w:bCs/>
        </w:rPr>
        <w:t xml:space="preserve">JUEZ EXIGE A SRE REUBICAR A FAMILIAS MIGRANTES DESALOJADAS DE ALBERGUE </w:t>
      </w:r>
    </w:p>
    <w:p>
      <w:pPr/>
      <w:r>
        <w:rPr/>
        <w:t xml:space="preserve">Un juez federal ordenó a la Secretaría de Relaciones Exteriores (SRE) y a la sección mexicana de la Comisión Internacional de Límites y Aguas entre México y Estados Unidos, con sede en Reynosa, Tamaulipas, reubicar a tres familias de migrantes hondureños y salvadoreños en un lugar digno y seguro tras ser desalojados del albergue Senda de Vida. Juan Fernando Alvarado López, juez séptimo de distrito en Tamaulipas, afirmó que los quejosos estaban en zona de riesgo y que, al ser propiedad de la nación la construcción de la ampliación de dicho albergue, debían ser removidos para proteger sus vidas. Sin embargo, remarcó que las autoridades responsables debían garantizar el sano espacio para quienes ahí se encontraban, lo que no se hizo conforme a las pruebas aportadas en el juicio. Puntualizó que conforme a los estándares internacionales "no es admisible que el Estado mexicano limite unilateralmente su jurisdicción para dejar fuera de su protección a personas que se encuentran bajo su resguardo, pues independientemente de su estatus migratorio tienen reconocidos sus derechos humanos y, por tanto, no deben sufrir ningún tipo de discriminación".</w:t>
      </w:r>
    </w:p>
    <w:p>
      <w:hyperlink r:id="rId34" w:history="1">
        <w:r>
          <w:rPr>
            <w:color w:val="000DFF"/>
            <w:u w:val="single"/>
          </w:rPr>
          <w:t xml:space="preserve">Milenio</w:t>
        </w:r>
      </w:hyperlink>
    </w:p>
    <w:p>
      <w:pPr/>
      <w:r>
        <w:rPr>
          <w:rFonts w:ascii="Tahoma" w:hAnsi="Tahoma" w:eastAsia="Tahoma" w:cs="Tahoma"/>
          <w:color w:val="1B2232"/>
          <w:sz w:val="20"/>
          <w:szCs w:val="20"/>
          <w:b/>
          <w:bCs/>
        </w:rPr>
        <w:t xml:space="preserve">VILA DOSAL SOLICITARÁ LICENCIA COMO GOBERNADOR</w:t>
      </w:r>
    </w:p>
    <w:p>
      <w:pPr/>
      <w:r>
        <w:rPr/>
        <w:t xml:space="preserve">Mérida.? El próximo 7 de mayo el gobernador de Yucatán, Mauricio Vila Dosal, solicitará licencia a su caigo por estar inscrito en la lista nominal al Senado de la Republica por representación proporcional. El Tribunal Electoral del Poder Judicial de la Federación notificó la sentencia en la que ordena al gobernador Mauricio Vila Dosal a que pida licencia a su caigo en un plazo de 10 días. El mandatario acatará esta decisión, porque siempre ha sido respetuoso de la ley, informó el gobierno del estado de Yucatán en u n comunicada Precisó que el gobernador solicitará licencia a su cargo el próximo 7 de mayo y lo retomará una vez terminada la jornada electoral, el día 3 de junio. A partir del 7 de mayo quedará como encargada del despacho la actual secretaria general de Gobierno, María Fritz Sierra. El gobernador se encuentra en labores de promoción económica del estado de Yucatán y representará a México en su calidad de presidente de la Conago en el Foro sobre Cooperación, Crecimiento y Energía para el Desarrollo, que se realizará en Arabia Saudita.</w:t>
      </w:r>
    </w:p>
    <w:p>
      <w:hyperlink r:id="rId35" w:history="1">
        <w:r>
          <w:rPr>
            <w:color w:val="000DFF"/>
            <w:u w:val="single"/>
          </w:rPr>
          <w:t xml:space="preserve">El Universal</w:t>
        </w:r>
      </w:hyperlink>
    </w:p>
    <w:p>
      <w:pPr>
        <w:jc w:val="center"/>
        <w:spacing w:after="100"/>
      </w:pPr>
      <w:r>
        <w:rPr>
          <w:rFonts w:ascii="Tahoma" w:hAnsi="Tahoma" w:eastAsia="Tahoma" w:cs="Tahoma"/>
          <w:color w:val="1B2232"/>
          <w:sz w:val="28"/>
          <w:szCs w:val="28"/>
          <w:b/>
          <w:bCs/>
        </w:rPr>
        <w:t xml:space="preserve">ECONOMÍA</w:t>
      </w:r>
    </w:p>
    <w:p>
      <w:pPr/>
      <w:r>
        <w:rPr>
          <w:rFonts w:ascii="Tahoma" w:hAnsi="Tahoma" w:eastAsia="Tahoma" w:cs="Tahoma"/>
          <w:color w:val="1B2232"/>
          <w:sz w:val="20"/>
          <w:szCs w:val="20"/>
          <w:b/>
          <w:bCs/>
        </w:rPr>
        <w:t xml:space="preserve">TIENES DE LA 4T DUPLICAN SU CONSUMO DE DIÉSEL</w:t>
      </w:r>
    </w:p>
    <w:p>
      <w:pPr/>
      <w:r>
        <w:rPr/>
        <w:t xml:space="preserve">Los dos proyectos de trenes de pasajeros que el gobierno de la autollamada Cuarta Transformación puso en marcha en 1a recta final del año pasado ?el Maya y el Interoceánico? han duplicado su consumo de diesel, de acuerdo con cifras de la Agencia Reguladora del Transporte Ferroviario (ARTF) de la Secretaría de Infraestructura, Comunicaciones y Transportes (SICT). Estos trenes son impulsados por diesel y, en algunos casos, también por electricidad, como es el caso del Tren Maya, con esquema de propulsión dual, pero datos a los que tuvo acceso EL UNIVERSAL muestran que el petrolífero es lo que realmente se está consumiendo. Entre enero y febrero de este año, el consumo de diesel para trenes de pasajeros se ubicó en más de mil millones de litros, mientras que en el mismo lapso del año pasado fueron 500 millones 119 mil litros, un incremento de 101%. En tanto, en el consumo de electricidad para estos sistemas se reportó un aumento de apenas 3.3% en el mismo lapso de referencia. La diferencia de estas comparaciones se debe a la puesta en m archa del Tren Maya, en diciembre de 2023, y del ferrocarril que forma parte del Corredor Interoceánico del Istmo de Tehuantepec, también al cierre del año pasado.</w:t>
      </w:r>
    </w:p>
    <w:p>
      <w:hyperlink r:id="rId36" w:history="1">
        <w:r>
          <w:rPr>
            <w:color w:val="000DFF"/>
            <w:u w:val="single"/>
          </w:rPr>
          <w:t xml:space="preserve">El Universal</w:t>
        </w:r>
      </w:hyperlink>
    </w:p>
    <w:p>
      <w:pPr/>
      <w:r>
        <w:rPr>
          <w:rFonts w:ascii="Tahoma" w:hAnsi="Tahoma" w:eastAsia="Tahoma" w:cs="Tahoma"/>
          <w:color w:val="1B2232"/>
          <w:sz w:val="20"/>
          <w:szCs w:val="20"/>
          <w:b/>
          <w:bCs/>
        </w:rPr>
        <w:t xml:space="preserve">BAJA DE TASA DE BANXICO, SIN IMPACTO EN HIPOTECAS</w:t>
      </w:r>
    </w:p>
    <w:p>
      <w:pPr/>
      <w:r>
        <w:rPr/>
        <w:t xml:space="preserve">A un mes de la reducción de la tasa de referencia del Banco de México (Banxico), el impacto en los tipos de interés para créditos hipotecarios ha sido mínimo, pues sólo un banco ha ajustado a la baja su tasa en determinados productos, de acuerdo con Creditaria México. En marzo, el banco central decidió reducir su tasa de referencia a 11%, siendo el primer descenso desde febrero de 2021. Juan Kasuga, director de Creditaria México, dijo que sólo Banorte ha hecho una pequeña disminución de sus tasas de interés para crédito hipotecario, cuando se esperaba una decisión más generalizada en todos los bancos. Kasuga comentó que la reducción de Banxico fue de apenas 25 puntos base, pero la buena noticia es que la tasa de referencia ya no subirá más en los próximos meses. Banorte bajó su tasa de interés de 9.88% a 9.38%, dependiendo de la calidad del cliente y tipo de hipoteca Actualmente, la tasa de interés promedio para un préstamo hipotecario está en 10.3%, de acuerdo con Creditaria. Kasuga destacó que esta disminución de la tasa de interés beneficia sólo a las nuevas hipotecas, pues las existentes se contratan a tasa fija y se respeta esa tasa por el periodo del crédito.</w:t>
      </w:r>
    </w:p>
    <w:p>
      <w:hyperlink r:id="rId36" w:history="1">
        <w:r>
          <w:rPr>
            <w:color w:val="000DFF"/>
            <w:u w:val="single"/>
          </w:rPr>
          <w:t xml:space="preserve">El Universal</w:t>
        </w:r>
      </w:hyperlink>
    </w:p>
    <w:p>
      <w:pPr/>
      <w:r>
        <w:rPr>
          <w:rFonts w:ascii="Tahoma" w:hAnsi="Tahoma" w:eastAsia="Tahoma" w:cs="Tahoma"/>
          <w:color w:val="1B2232"/>
          <w:sz w:val="20"/>
          <w:szCs w:val="20"/>
          <w:b/>
          <w:bCs/>
        </w:rPr>
        <w:t xml:space="preserve">SE COMPLICA LUCHA CONTRA LA INFLACIÓN</w:t>
      </w:r>
    </w:p>
    <w:p>
      <w:pPr/>
      <w:r>
        <w:rPr/>
        <w:t xml:space="preserve">La política fiscal expansiva de este año complica la lucha del Banco de México (Banxico) contra la inflación porque le genera presiones adicionales. Este 2024, último año del actual Gobierno federal, se espera una política fiscal expansiva (un aumento de la demanda agregada por un incremento del gasto público planteado por el Gobierno) con un déficit público de 5.9 por ciento del Producto Interno Bruto (PIB). "Los altos déficits fiscales están relacionados con presiones inflacionarias y presión al alza sobre la tasa de interés, no sólo por las presiones inflacionarias, sino también por la mayor colocación de deuda que debe hacer el Gobierno. "Esta mayor deuda implica un mayor riesgo, que se compensa con una mayor tasa de interés", explicó Gabriela Siller, directora de Análisis Económico y Financiero de Banco Base. Detalló que la mayor tasa de interés aprecia a la divisa, por el carry-trade (cuando inversionistas toman prestado en una moneda para invertir en otra), hasta el punto de sobrevaluarla y hacerla muy vulnerable de rebotes, como se encuentra actualmente.</w:t>
      </w:r>
    </w:p>
    <w:p>
      <w:hyperlink r:id="rId37" w:history="1">
        <w:r>
          <w:rPr>
            <w:color w:val="000DFF"/>
            <w:u w:val="single"/>
          </w:rPr>
          <w:t xml:space="preserve">Reforma</w:t>
        </w:r>
      </w:hyperlink>
    </w:p>
    <w:p>
      <w:pPr/>
      <w:r>
        <w:rPr>
          <w:rFonts w:ascii="Tahoma" w:hAnsi="Tahoma" w:eastAsia="Tahoma" w:cs="Tahoma"/>
          <w:color w:val="1B2232"/>
          <w:sz w:val="20"/>
          <w:szCs w:val="20"/>
          <w:b/>
          <w:bCs/>
        </w:rPr>
        <w:t xml:space="preserve">SOLICITAN ANTE MEJORÍA MÁS CRÉDITOS BANCARIOS</w:t>
      </w:r>
    </w:p>
    <w:p>
      <w:pPr/>
      <w:r>
        <w:rPr/>
        <w:t xml:space="preserve">El desempeño positivo de los mercados laborales y el incremento gradual de la inversión, particularmente en México, con el nearshoring, aumentaron la demanda local de créditos y los volúmenes bancarios, de acuerdo con Moody?s Investors Service. En 2023, las tasas de desempleo cayeron en todos los países de América Latina, excepto en Chile, y tuvieron un mejor desempeño que el promedio de 10 años en Brasil, México y Peni, según un análisis de la calificadora sobre el sector bancario en la región. Esta mejora, junto con un menor nivel de la inflación, contribuyó a un aumento del ingreso real disponible de los hogares en todos los países que presentaron informes. A su vez, la deuda de los hogares, que había aumentado con respecto a los años anteriores, disminuyó en 2023, con México como única excepción, indicó Moody?s. No obstante, para la calificadora, las condiciones operativas de los bancos en México podrían mejorar debido al crecimiento de las inversiones relacionadas con el nearshoring, lo que impulsará la demanda de los consumidores.</w:t>
      </w:r>
    </w:p>
    <w:p>
      <w:hyperlink r:id="rId38"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SEGURIDAD</w:t>
      </w:r>
    </w:p>
    <w:p>
      <w:pPr/>
      <w:r>
        <w:rPr>
          <w:rFonts w:ascii="Tahoma" w:hAnsi="Tahoma" w:eastAsia="Tahoma" w:cs="Tahoma"/>
          <w:color w:val="1B2232"/>
          <w:sz w:val="20"/>
          <w:szCs w:val="20"/>
          <w:b/>
          <w:bCs/>
        </w:rPr>
        <w:t xml:space="preserve">LEVANTAN A CANDIDATO DEL PT A LA ALCALDÍA DE FRONTERA COMALAPA</w:t>
      </w:r>
    </w:p>
    <w:p>
      <w:pPr/>
      <w:r>
        <w:rPr/>
        <w:t xml:space="preserve">Hombres armados privaron de la libertad al candidato del Partido del Trabajo (PT) a la alcaldía de Frontera Comalapa, Rey David Gutiérrez Vázquez, cuando se encontraba en su vivienda en el barrio Belisario Domínguez, informaron este domingo familiares y conocidos del abanderado. De acuerdo con su versión, alrededor de las 23:00 horas del sábado, varios hombres que se movían en vehículos todo terreno se presentaron en la vivienda de Rey David Gutiérrez Vázquez ?también conocido como El amigo Rey, alias con el que aparece en la planilla que se registró ante el Instituto de Elecciones de Chiapas? y se lo llevaron. En 2021 Gutiérrez Vázquez fue candidato de Morena para el ayuntamiento de Frontera Comalapa En esa elección su principal opositor fue Carlos Ramírez Aguilar, del Partido Verde Ecologista de México (PVEM). Hombres desconocidos quemaron boletas electorales que se guardaban en un recinto. Debido a la quema de boletas, Gutiérrez Vázquez interpuso un recurso ante el Tribunal Electoral del Estado de Chiapas.</w:t>
      </w:r>
    </w:p>
    <w:p>
      <w:hyperlink r:id="rId35" w:history="1">
        <w:r>
          <w:rPr>
            <w:color w:val="000DFF"/>
            <w:u w:val="single"/>
          </w:rPr>
          <w:t xml:space="preserve">El Universal</w:t>
        </w:r>
      </w:hyperlink>
    </w:p>
    <w:p>
      <w:hyperlink r:id="rId39" w:history="1">
        <w:r>
          <w:rPr>
            <w:color w:val="000DFF"/>
            <w:u w:val="single"/>
          </w:rPr>
          <w:t xml:space="preserve">Reforma</w:t>
        </w:r>
      </w:hyperlink>
    </w:p>
    <w:p>
      <w:pPr/>
      <w:r>
        <w:rPr>
          <w:rFonts w:ascii="Tahoma" w:hAnsi="Tahoma" w:eastAsia="Tahoma" w:cs="Tahoma"/>
          <w:color w:val="1B2232"/>
          <w:sz w:val="20"/>
          <w:szCs w:val="20"/>
          <w:b/>
          <w:bCs/>
        </w:rPr>
        <w:t xml:space="preserve">DENUNCIAN ANTE FGR A DANIEL NOBOA</w:t>
      </w:r>
    </w:p>
    <w:p>
      <w:pPr/>
      <w:r>
        <w:rPr/>
        <w:t xml:space="preserve">Abogados penalistas presentaron ante la Fiscalía General de la República (FGR) una denuncia en contra del presidente de Ecuador, Daniel Noboa, y otras autoridades de aquel país por delitos tipificados en el Código Penal Federal mexicano. En tanto, la Corte Internacional de Justicia, máximo tribunal de Naciones Unidas, indicó que a partir del martes escuchará los argumentos de México y Ecuador en torno al ilegal y arbitrario arresto del exvicepresidente ecuatoriano Jorge Glas en el asalto policial a la embajada de México en Quito, el 5 de abril. En conferencia, convocada por la Asociación Nacional de Abogados Democráticos (ANAD) y la Asociación Cívica Mexicanos Unidos, Jaime Fernando Cárdenas, del Instituto de Investigaciones Jurídicas de la UNAM, manifestó que el mandatario de Ecuador debe ser investigado y sancionado por ordenar el allanamiento de la sede diplomática de México en Quito.</w:t>
      </w:r>
    </w:p>
    <w:p>
      <w:hyperlink r:id="rId40" w:history="1">
        <w:r>
          <w:rPr>
            <w:color w:val="000DFF"/>
            <w:u w:val="single"/>
          </w:rPr>
          <w:t xml:space="preserve">El Universal</w:t>
        </w:r>
      </w:hyperlink>
    </w:p>
    <w:p>
      <w:pPr/>
      <w:r>
        <w:rPr>
          <w:rFonts w:ascii="Tahoma" w:hAnsi="Tahoma" w:eastAsia="Tahoma" w:cs="Tahoma"/>
          <w:color w:val="1B2232"/>
          <w:sz w:val="20"/>
          <w:szCs w:val="20"/>
          <w:b/>
          <w:bCs/>
        </w:rPr>
        <w:t xml:space="preserve">OPERATIVO DE BÚSQUEDA DESATA ENFRENTAMIENTO</w:t>
      </w:r>
    </w:p>
    <w:p>
      <w:pPr/>
      <w:r>
        <w:rPr/>
        <w:t xml:space="preserve">En uno de los operativos de búsqueda para localizar al Profe Chayo en la zona sureste de Zacatecas, se registró un enfrentamiento entre las fuerzas de seguridad y un grupo delincuencial que se presume pertenece al Cártel de Jalisco Nueva Generación (CJNG), ocurrido en la comunidad La Pachona, en el municipio de Pinos, que dejó un saldo de tres agresores muertos y 10 detenidos. Las autoridades de seguridad informaron los resultados de este hecho hasta ayer, pero precisaron en un comunicado que los hechos su ¬ cedieron la mañana del sábado, cuando elementos de la Fuerza de Reacción Inmediata Zacatecas, del Grupo de Operaciones Rurales, así como personal de Inteligencia de la Policía Estatal Preventiva, del Ejército Mexicano y Guardia Nacional, realizaban patrullajes en ese lugar (colindante con San Luis Potosí), y fueron agredidos por personas armadas. En el intercambio de balas resultaron sin vida tres de los presuntos agresores de los que se desconoce su identidad, solo se ha confirmado que entre los 10 detenidos se encuentran dos hombres originarios de Colombia, que señalaron pertenecen al Ejército de ese país, así como una persona más de origen venezolano.</w:t>
      </w:r>
    </w:p>
    <w:p>
      <w:hyperlink r:id="rId41" w:history="1">
        <w:r>
          <w:rPr>
            <w:color w:val="000DFF"/>
            <w:u w:val="single"/>
          </w:rPr>
          <w:t xml:space="preserve">El Universal</w:t>
        </w:r>
      </w:hyperlink>
    </w:p>
    <w:p>
      <w:pPr/>
      <w:r>
        <w:rPr>
          <w:rFonts w:ascii="Tahoma" w:hAnsi="Tahoma" w:eastAsia="Tahoma" w:cs="Tahoma"/>
          <w:color w:val="1B2232"/>
          <w:sz w:val="20"/>
          <w:szCs w:val="20"/>
          <w:b/>
          <w:bCs/>
        </w:rPr>
        <w:t xml:space="preserve">MATAN A SEIS POLICÍAS EN DIFERENTES ESTADOS DEL PAÍS</w:t>
      </w:r>
    </w:p>
    <w:p>
      <w:pPr/>
      <w:r>
        <w:rPr/>
        <w:t xml:space="preserve">Este fin de semana se reportó el asesinato de al menos seis policías en los estados de Jalisco, Guanajuato y Puebla, Gerardo Daniel Insúa Casao, comisario jefe de supervisión general de la Secretaría de Seguridad Pública de Jalisco, fue asesinado la noche del sábado en Tlajomulco por un grupo delictivo que le tendió una emboscada. El fiscal del estado, Luis Joaquín Méndez Ruiz, señaló que el elemento fue atacado por un grupo de cinco personas, entre ellas una mujer, que lo abordaron mientras realizaba compras en una cafetería junto con su pareja y su hija. Los hechos ocurrieron alrededor de las 21 horas en el cruce de las calles Valle de San Víctor y Valle de San Valentín, en la colonia Real del Valle; tras el reporte de lo ocurrido diversos cuerpos de emergencia, acudieron al lugar, donde se localizaron más de 70 casquillos percutidos. A pesar del intenso tiroteo de los atacantes, las acompañantes del jefe policiaco lograron salir ilesas; el fiscal del estado indicó que Insúa Casao portaba un arma de cargo, pero por la forma en que sucedieron los hechos no pudo repeler la agresión.</w:t>
      </w:r>
    </w:p>
    <w:p>
      <w:hyperlink r:id="rId41" w:history="1">
        <w:r>
          <w:rPr>
            <w:color w:val="000DFF"/>
            <w:u w:val="single"/>
          </w:rPr>
          <w:t xml:space="preserve">El Universal</w:t>
        </w:r>
      </w:hyperlink>
    </w:p>
    <w:p>
      <w:hyperlink r:id="rId42" w:history="1">
        <w:r>
          <w:rPr>
            <w:color w:val="000DFF"/>
            <w:u w:val="single"/>
          </w:rPr>
          <w:t xml:space="preserve">Reforma</w:t>
        </w:r>
      </w:hyperlink>
    </w:p>
    <w:p>
      <w:pPr/>
      <w:r>
        <w:rPr>
          <w:rFonts w:ascii="Tahoma" w:hAnsi="Tahoma" w:eastAsia="Tahoma" w:cs="Tahoma"/>
          <w:color w:val="1B2232"/>
          <w:sz w:val="20"/>
          <w:szCs w:val="20"/>
          <w:b/>
          <w:bCs/>
        </w:rPr>
        <w:t xml:space="preserve">DECOMISAN ARMAMENTO TRAS ATAQUE A MILITARES EN ZONA DEL DESIERTO</w:t>
      </w:r>
    </w:p>
    <w:p>
      <w:pPr/>
      <w:r>
        <w:rPr/>
        <w:t xml:space="preserve">Dos hombres armados fueron abatidos en un enfrentamiento con elementos de Ejército en Oquitoa, en la región del desierto de Sonora. Se informó que los civiles abrieron fuego contra militares en un camino de terrecería en Oquitoa con dirección a Átil, en el noroeste de la entidad. La Fiscalía General de Justicia del Estado (FGJE) informó que luego de los hechos se aseguraron fusiles de asalto, cargadores para amas de fuego, más de mil cartuchos útiles, explosivos y un vehículo. Los hechos tuvieron lugar el sábado y la escena fue procesada por personal de la dirección de servicios periciales de la Fiscalía de Sonora después de que se tuvo conocimiento del suceso. En el interior de una camioneta tipo pick-up de color café, modelo 2002 y sin placas de circulación, se encontraron dos de los agresores sin vida que hasta ayer no habían sido identificados. Cada uno de ellos portaba un fusil AK-47. Además, dentro del vehículo, se aseguraron más armas y cartuchos. En total se procesaron siete fusiles AK-47, dos fusiles AR-15 calibre 5.56, 33 cargadores para AK-47, tres cargadores adicionales para AR-15, 200 cartuchos útiles calibre 7.62 para ametralladora Mini, 834 cartuchos útiles calibre 7.62x39 y dos explosivos de tipo dinamita.</w:t>
      </w:r>
    </w:p>
    <w:p>
      <w:hyperlink r:id="rId41" w:history="1">
        <w:r>
          <w:rPr>
            <w:color w:val="000DFF"/>
            <w:u w:val="single"/>
          </w:rPr>
          <w:t xml:space="preserve">El Universal</w:t>
        </w:r>
      </w:hyperlink>
    </w:p>
    <w:p>
      <w:pPr>
        <w:jc w:val="center"/>
        <w:spacing w:after="100"/>
      </w:pPr>
      <w:r>
        <w:rPr>
          <w:rFonts w:ascii="Tahoma" w:hAnsi="Tahoma" w:eastAsia="Tahoma" w:cs="Tahoma"/>
          <w:color w:val="1B2232"/>
          <w:sz w:val="28"/>
          <w:szCs w:val="28"/>
          <w:b/>
          <w:bCs/>
        </w:rPr>
        <w:t xml:space="preserve">INTERNACIONAL</w:t>
      </w:r>
    </w:p>
    <w:p>
      <w:pPr/>
      <w:r>
        <w:rPr>
          <w:rFonts w:ascii="Tahoma" w:hAnsi="Tahoma" w:eastAsia="Tahoma" w:cs="Tahoma"/>
          <w:color w:val="1B2232"/>
          <w:sz w:val="20"/>
          <w:szCs w:val="20"/>
          <w:b/>
          <w:bCs/>
        </w:rPr>
        <w:t xml:space="preserve">RECLAMAN AMNISTÍA ESTUDIANTES EN EU</w:t>
      </w:r>
    </w:p>
    <w:p>
      <w:pPr/>
      <w:r>
        <w:rPr/>
        <w:t xml:space="preserve">Alumnos y un número creciente de profesores exigen la amnistía de cientos de universitarios arrestados en las protestas que azotan los principales campus de Estados Unidos por la guerra entre Israel y Hamas. La cuestión es si las universidades y la Policía eliminarán los cargos y no aplicarán otras consecuencias, o si las suspensiones y los antecedentes penales seguirán a los estudiantes hasta su vida adulta. Maryam Alwan pensó que lo peor había pasado después de que la unidad antidisturbios de las fuerzas del orden de la Ciudad de Nueva York la arrestó a ella y a otros manifiestantes en la Universidad de Columbia Los subieron a autobuses y estuvieron durante horas bajo custodia. Pero la noche siguiente, la universitaria recibió un correo de la universidad. Se le informó que ella y otros alumnos habían sido suspendidos tras sus arrestos en el Campamento de Solidaridad con Gaza, una táctica que las escuelas de todo el país han implementado para calmar las crecientes protestas que, entre otras cosas, reclaman a las instituciones educativas cortar cualquier vínculo y financiamiento proisraelí.</w:t>
      </w:r>
    </w:p>
    <w:p>
      <w:hyperlink r:id="rId43" w:history="1">
        <w:r>
          <w:rPr>
            <w:color w:val="000DFF"/>
            <w:u w:val="single"/>
          </w:rPr>
          <w:t xml:space="preserve">El Universal</w:t>
        </w:r>
      </w:hyperlink>
    </w:p>
    <w:p>
      <w:hyperlink r:id="rId44" w:history="1">
        <w:r>
          <w:rPr>
            <w:color w:val="000DFF"/>
            <w:u w:val="single"/>
          </w:rPr>
          <w:t xml:space="preserve">Reforma</w:t>
        </w:r>
      </w:hyperlink>
    </w:p>
    <w:sectPr>
      <w:headerReference w:type="default" r:id="rId45"/>
      <w:headerReference w:type="default" r:id="rId46"/>
      <w:pgSz w:orient="portrait" w:w="11905.511811024" w:h="16837.795275591"/>
      <w:pgMar w:top="1440" w:right="1440" w:bottom="1440" w:left="144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right"/>
    </w:pPr>
    <w:r>
      <w:rPr>
        <w:rFonts w:ascii="Tahoma" w:hAnsi="Tahoma" w:eastAsia="Tahoma" w:cs="Tahoma"/>
        <w:color w:val="000000"/>
        <w:sz w:val="24"/>
        <w:szCs w:val="24"/>
        <w:b/>
        <w:bCs/>
      </w:rPr>
      <w:t xml:space="preserve">06-12-2025</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Arial" w:hAnsi="Arial" w:eastAsia="Arial" w:cs="Arial"/>
        <w:sz w:val="20"/>
        <w:szCs w:val="20"/>
        <w:lang w:val="en-US"/>
      </w:rPr>
    </w:rPrDefault>
  </w:docDefaults>
  <w:style w:type="paragraph" w:default="1" w:styleId="Normal">
    <w:name w:val="Normal"/>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hyperlink" Target="http://www.gaimpresos.com/Periodicos/El%20Universal/2024-04-29/A_4.pdf" TargetMode="External"/><Relationship Id="rId8" Type="http://schemas.openxmlformats.org/officeDocument/2006/relationships/hyperlink" Target="http://www.gaimpresos.com/Periodicos/El%20Reforma/2024-04-29/A_5.pdf" TargetMode="External"/><Relationship Id="rId9" Type="http://schemas.openxmlformats.org/officeDocument/2006/relationships/hyperlink" Target="http://www.gaimpresos.com/Periodicos/Excelsior/2024-04-29/A_1.pdf" TargetMode="External"/><Relationship Id="rId10" Type="http://schemas.openxmlformats.org/officeDocument/2006/relationships/hyperlink" Target="http://www.gaimpresos.com/Periodicos/el%20sol%20de%20mexico/2024-04-29/A_1.pdf" TargetMode="External"/><Relationship Id="rId11" Type="http://schemas.openxmlformats.org/officeDocument/2006/relationships/hyperlink" Target="http://www.gaimpresos.com/Periodicos/Veinticuatro%20Horas/2024-04-29/1_A.pdf" TargetMode="External"/><Relationship Id="rId12" Type="http://schemas.openxmlformats.org/officeDocument/2006/relationships/hyperlink" Target="http://www.gaimpresos.com/Periodicos/Financiero/2024-04-29/A_1.pdf" TargetMode="External"/><Relationship Id="rId13" Type="http://schemas.openxmlformats.org/officeDocument/2006/relationships/hyperlink" Target="http://www.gaimpresos.com/Periodicos/La%20cronica/2024-04-29/A_1.pdf" TargetMode="External"/><Relationship Id="rId14" Type="http://schemas.openxmlformats.org/officeDocument/2006/relationships/hyperlink" Target="http://www.gaimpresos.com/Periodicos/La%20Razon/2024-04-29/A_1.pdf" TargetMode="External"/><Relationship Id="rId15" Type="http://schemas.openxmlformats.org/officeDocument/2006/relationships/hyperlink" Target="http://www.gaimpresos.com/Periodicos/Publimetro%20DF/2024-04-29/A_1.pdf" TargetMode="External"/><Relationship Id="rId16" Type="http://schemas.openxmlformats.org/officeDocument/2006/relationships/hyperlink" Target="http://www.gaimpresos.com/Periodicos/Ovaciones/2024-04-29/A_1.pdf" TargetMode="External"/><Relationship Id="rId17" Type="http://schemas.openxmlformats.org/officeDocument/2006/relationships/hyperlink" Target="http://www.gaimpresos.com/Periodicos/Diario%20Imagen/2024-04-29/A_1.pdf" TargetMode="External"/><Relationship Id="rId18" Type="http://schemas.openxmlformats.org/officeDocument/2006/relationships/hyperlink" Target="http://www.gaimpresos.com/Periodicos/El%20Dia/2024-04-29/A_1.pdf" TargetMode="External"/><Relationship Id="rId19" Type="http://schemas.openxmlformats.org/officeDocument/2006/relationships/hyperlink" Target="http://www.gaimpresos.com/Periodicos/El%20Heraldo%20de%20Mexico/2024-04-29/A_1.pdf" TargetMode="External"/><Relationship Id="rId20" Type="http://schemas.openxmlformats.org/officeDocument/2006/relationships/hyperlink" Target="http://www.gaimpresos.com/Periodicos/El%20Universal/2024-04-29/A_15.pdf" TargetMode="External"/><Relationship Id="rId21" Type="http://schemas.openxmlformats.org/officeDocument/2006/relationships/hyperlink" Target="http://www.gaimpresos.com/Periodicos/El%20Reforma/2024-04-29/A_1.pdf" TargetMode="External"/><Relationship Id="rId22" Type="http://schemas.openxmlformats.org/officeDocument/2006/relationships/hyperlink" Target="http://www.gaimpresos.com/Periodicos/El%20milenio%20Nacional/2024-04-29/A_12.pdf" TargetMode="External"/><Relationship Id="rId23" Type="http://schemas.openxmlformats.org/officeDocument/2006/relationships/hyperlink" Target="http://www.gaimpresos.com/Periodicos/Diario%20de%20Mexico/2024-04-29/A_1.pdf" TargetMode="External"/><Relationship Id="rId24" Type="http://schemas.openxmlformats.org/officeDocument/2006/relationships/hyperlink" Target="http://www.gaimpresos.com/Periodicos/El%20Universal/2024-04-29/A_14.pdf" TargetMode="External"/><Relationship Id="rId25" Type="http://schemas.openxmlformats.org/officeDocument/2006/relationships/hyperlink" Target="http://www.gaimpresos.com/Periodicos/El%20Reforma/2024-04-29/A_2.pdf" TargetMode="External"/><Relationship Id="rId26" Type="http://schemas.openxmlformats.org/officeDocument/2006/relationships/hyperlink" Target="http://www.gaimpresos.com/Periodicos/El%20milenio%20Nacional/2024-04-29/A_6.pdf" TargetMode="External"/><Relationship Id="rId27" Type="http://schemas.openxmlformats.org/officeDocument/2006/relationships/hyperlink" Target="http://www.gaimpresos.com/Periodicos/El%20Universal/2024-04-29/A_6.pdf" TargetMode="External"/><Relationship Id="rId28" Type="http://schemas.openxmlformats.org/officeDocument/2006/relationships/hyperlink" Target="http://www.gaimpresos.com/Periodicos/El%20Universal/2024-04-29/A_12.pdf" TargetMode="External"/><Relationship Id="rId29" Type="http://schemas.openxmlformats.org/officeDocument/2006/relationships/hyperlink" Target="http://www.gaimpresos.com/Periodicos/Financiero/2024-04-29/A_53.pdf" TargetMode="External"/><Relationship Id="rId30" Type="http://schemas.openxmlformats.org/officeDocument/2006/relationships/hyperlink" Target="http://www.gaimpresos.com/Periodicos/El%20Dia/2024-04-29/A_4.pdf" TargetMode="External"/><Relationship Id="rId31" Type="http://schemas.openxmlformats.org/officeDocument/2006/relationships/hyperlink" Target="http://www.gaimpresos.com/Periodicos/Excelsior/2024-04-29/A_15.pdf" TargetMode="External"/><Relationship Id="rId32" Type="http://schemas.openxmlformats.org/officeDocument/2006/relationships/hyperlink" Target="http://www.gaimpresos.com/Periodicos/El%20milenio%20Nacional/2024-04-29/A_9.pdf" TargetMode="External"/><Relationship Id="rId33" Type="http://schemas.openxmlformats.org/officeDocument/2006/relationships/hyperlink" Target="http://www.gaimpresos.com/Periodicos/El%20milenio%20Nacional/2024-04-29/A_15.pdf" TargetMode="External"/><Relationship Id="rId34" Type="http://schemas.openxmlformats.org/officeDocument/2006/relationships/hyperlink" Target="http://www.gaimpresos.com/Periodicos/El%20milenio%20Nacional/2024-04-29/A_18.pdf" TargetMode="External"/><Relationship Id="rId35" Type="http://schemas.openxmlformats.org/officeDocument/2006/relationships/hyperlink" Target="http://www.gaimpresos.com/Periodicos/El%20Universal/2024-04-29/A_11.pdf" TargetMode="External"/><Relationship Id="rId36" Type="http://schemas.openxmlformats.org/officeDocument/2006/relationships/hyperlink" Target="http://www.gaimpresos.com/Periodicos/El%20Universal/2024-04-29/A_28.pdf" TargetMode="External"/><Relationship Id="rId37" Type="http://schemas.openxmlformats.org/officeDocument/2006/relationships/hyperlink" Target="http://www.gaimpresos.com/Periodicos/El%20Reforma/2024-04-29/NEG_1.pdf" TargetMode="External"/><Relationship Id="rId38" Type="http://schemas.openxmlformats.org/officeDocument/2006/relationships/hyperlink" Target="http://www.gaimpresos.com/Periodicos/El%20Reforma/2024-04-29/NEG_3.pdf" TargetMode="External"/><Relationship Id="rId39" Type="http://schemas.openxmlformats.org/officeDocument/2006/relationships/hyperlink" Target="http://www.gaimpresos.com/Periodicos/El%20Reforma/2024-04-29/A_12.pdf" TargetMode="External"/><Relationship Id="rId40" Type="http://schemas.openxmlformats.org/officeDocument/2006/relationships/hyperlink" Target="http://www.gaimpresos.com/Periodicos/El%20Universal/2024-04-29/A_13.pdf" TargetMode="External"/><Relationship Id="rId41" Type="http://schemas.openxmlformats.org/officeDocument/2006/relationships/hyperlink" Target="http://www.gaimpresos.com/Periodicos/El%20Universal/2024-04-29/A_19.pdf" TargetMode="External"/><Relationship Id="rId42" Type="http://schemas.openxmlformats.org/officeDocument/2006/relationships/hyperlink" Target="http://www.gaimpresos.com/Periodicos/El%20Reforma/2024-04-29/A_13.pdf" TargetMode="External"/><Relationship Id="rId43" Type="http://schemas.openxmlformats.org/officeDocument/2006/relationships/hyperlink" Target="http://www.gaimpresos.com/Periodicos/El%20Universal/2024-04-29/A_20.pdf" TargetMode="External"/><Relationship Id="rId44" Type="http://schemas.openxmlformats.org/officeDocument/2006/relationships/hyperlink" Target="http://www.gaimpresos.com/Periodicos/El%20Reforma/2024-04-29/A_14.pdf" TargetMode="External"/><Relationship Id="rId45" Type="http://schemas.openxmlformats.org/officeDocument/2006/relationships/header" Target="header1.xml"/><Relationship Id="rId46"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2025-12-06T12:48:14-06:00</dcterms:created>
  <dcterms:modified xsi:type="dcterms:W3CDTF">2025-12-06T12:48:14-06:00</dcterms:modified>
</cp:coreProperties>
</file>

<file path=docProps/custom.xml><?xml version="1.0" encoding="utf-8"?>
<Properties xmlns="http://schemas.openxmlformats.org/officeDocument/2006/custom-properties" xmlns:vt="http://schemas.openxmlformats.org/officeDocument/2006/docPropsVTypes"/>
</file>