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spacing w:after="100"/>
      </w:pPr>
      <w:r>
        <w:rPr>
          <w:rFonts w:ascii="Tahoma" w:hAnsi="Tahoma" w:eastAsia="Tahoma" w:cs="Tahoma"/>
          <w:color w:val="1B2232"/>
          <w:sz w:val="28"/>
          <w:szCs w:val="28"/>
          <w:b/>
          <w:bCs/>
        </w:rPr>
        <w:t xml:space="preserve">PULSO NACIONAL</w:t>
      </w:r>
    </w:p>
    <w:p>
      <w:pPr/>
      <w:r>
        <w:rPr>
          <w:rFonts w:ascii="Tahoma" w:hAnsi="Tahoma" w:eastAsia="Tahoma" w:cs="Tahoma"/>
          <w:color w:val="1B2232"/>
          <w:sz w:val="20"/>
          <w:szCs w:val="20"/>
          <w:b/>
          <w:bCs/>
        </w:rPr>
        <w:t xml:space="preserve">INCUMPLEN CON TRASPASO DE MAS DE 40 MMDP: IMSS</w:t>
      </w:r>
    </w:p>
    <w:p>
      <w:pPr/>
      <w:r>
        <w:rPr/>
        <w:t xml:space="preserve">El director del Instituto Mexicano del Seguro Social (IMSS), Zoé Robledo Aburto, exhibió a las Afore que no han devuelto al instituto los recursos de las cuentas individuales inactivas, por más de 40 mil millones de pesos, según lo establece la ley. Robledo Aburto señaló que en 2023 se identificaron 259 mil 945 cuentas, con un monto total de 41 mil 541 millones de pesos, pero las 10 Afore sólo trasladaron 946 millones. La Afore que más adeuda es Banorte XXI, que sólo ha remitido al IMSS 284.7 millones de Ilesos cuando debería haber devuelto 9 mil 360 millones. Le sigue Afore Principal, que devolvió 115 millones de pesos, cuando el monto debió ser de 6 mil 255 millones de pesos; Afore Banamex entregó 187.9 millones de pesos en vez de 6 mil 125 millones de pesos. Afore Azteca ha devuelto 19.7 millones de pesos de mil 847 millones, entre otras. Robledo Aburto acusó que hay una campaña en contra de la reforma a las pensiones y señaló que esta iniciativa ha generado todo tipo de comentarios, críticas y disparates. Esto que se ha hablado de expropiación, confiscación, robo a las pensiones de las personas que no han reclamado después de 10 años... vamos a ver por qué esto simplemente es una campaña de desinformación, dijo el funcionario.</w:t>
      </w:r>
    </w:p>
    <w:p>
      <w:hyperlink r:id="rId7" w:history="1">
        <w:r>
          <w:rPr>
            <w:color w:val="000DFF"/>
            <w:u w:val="single"/>
          </w:rPr>
          <w:t xml:space="preserve">El Universal</w:t>
        </w:r>
      </w:hyperlink>
    </w:p>
    <w:p>
      <w:hyperlink r:id="rId8" w:history="1">
        <w:r>
          <w:rPr>
            <w:color w:val="000DFF"/>
            <w:u w:val="single"/>
          </w:rPr>
          <w:t xml:space="preserve">Reforma</w:t>
        </w:r>
      </w:hyperlink>
    </w:p>
    <w:p>
      <w:hyperlink r:id="rId9" w:history="1">
        <w:r>
          <w:rPr>
            <w:color w:val="000DFF"/>
            <w:u w:val="single"/>
          </w:rPr>
          <w:t xml:space="preserve">La Jornada</w:t>
        </w:r>
      </w:hyperlink>
    </w:p>
    <w:p>
      <w:hyperlink r:id="rId10" w:history="1">
        <w:r>
          <w:rPr>
            <w:color w:val="000DFF"/>
            <w:u w:val="single"/>
          </w:rPr>
          <w:t xml:space="preserve">Excélsior</w:t>
        </w:r>
      </w:hyperlink>
    </w:p>
    <w:p>
      <w:hyperlink r:id="rId11" w:history="1">
        <w:r>
          <w:rPr>
            <w:color w:val="000DFF"/>
            <w:u w:val="single"/>
          </w:rPr>
          <w:t xml:space="preserve">Basta!</w:t>
        </w:r>
      </w:hyperlink>
    </w:p>
    <w:p>
      <w:pPr/>
      <w:r>
        <w:rPr>
          <w:rFonts w:ascii="Tahoma" w:hAnsi="Tahoma" w:eastAsia="Tahoma" w:cs="Tahoma"/>
          <w:color w:val="1B2232"/>
          <w:sz w:val="20"/>
          <w:szCs w:val="20"/>
          <w:b/>
          <w:bCs/>
        </w:rPr>
        <w:t xml:space="preserve">ASEGURA PRESIDENTE CUMPLIR A BANQUEROS</w:t>
      </w:r>
    </w:p>
    <w:p>
      <w:pPr/>
      <w:r>
        <w:rPr/>
        <w:t xml:space="preserve">Si hace seis años, como candidato, Andrés Manuel López Obrador advirtió que él no amarraría al tigre si se escapara por la puerta del fraude, anoche como Presidente se preció de haberle cumplido a los banqueros. Y en efecto: el primer Presidente de izquierda, le cumplió a los hombres de la banca. El tabasqueño mismo exhibió una gráfica con el abultado crecimiento de las utilidades, de casi 274 por ciento en 2023. De la amenaza del tigre, al ahí está el detalle de Cantinflas. Y con otros datos, los suyos, los del Gobierno de la llamada 4T, que presentó profusamente en power point durante la clausura de la 87 Convención Bancaria. En el festín de los datos, el tabasqueño incurrió en la violación de la veda electoral al compartir los resultados del combate a la pobreza durante su Gobierno. Al Presidente lo acompañaron la Gobernadora anfitriona de Guerrero, Evelyn Salgado; el Secretario de Hacienda, Rogelio Ramírez de la O; la Gobernadora del Banco de México (Banxico), Victoria Rodríguez Ceja; el presidente de la Asociación de Bancos de México (AMB), Julio Carranza, y los directivos de organismos empresariales. La de anoche fue la última presentación del tabasqueño en una Convención Bancaria. Yo les agradezco mucho: ya no voy a estar en la próxima. Ya me voy a Palenque en cinco meses. </w:t>
      </w:r>
    </w:p>
    <w:p>
      <w:hyperlink r:id="rId12" w:history="1">
        <w:r>
          <w:rPr>
            <w:color w:val="000DFF"/>
            <w:u w:val="single"/>
          </w:rPr>
          <w:t xml:space="preserve">El Universal</w:t>
        </w:r>
      </w:hyperlink>
    </w:p>
    <w:p>
      <w:hyperlink r:id="rId13" w:history="1">
        <w:r>
          <w:rPr>
            <w:color w:val="000DFF"/>
            <w:u w:val="single"/>
          </w:rPr>
          <w:t xml:space="preserve">Reforma</w:t>
        </w:r>
      </w:hyperlink>
    </w:p>
    <w:p>
      <w:hyperlink r:id="rId14" w:history="1">
        <w:r>
          <w:rPr>
            <w:color w:val="000DFF"/>
            <w:u w:val="single"/>
          </w:rPr>
          <w:t xml:space="preserve">La Razón</w:t>
        </w:r>
      </w:hyperlink>
    </w:p>
    <w:p>
      <w:pPr/>
      <w:r>
        <w:rPr>
          <w:rFonts w:ascii="Tahoma" w:hAnsi="Tahoma" w:eastAsia="Tahoma" w:cs="Tahoma"/>
          <w:color w:val="1B2232"/>
          <w:sz w:val="20"/>
          <w:szCs w:val="20"/>
          <w:b/>
          <w:bCs/>
        </w:rPr>
        <w:t xml:space="preserve">CONDENA ATAQUES AL PODER JUDICIAL </w:t>
      </w:r>
    </w:p>
    <w:p>
      <w:pPr/>
      <w:r>
        <w:rPr/>
        <w:t xml:space="preserve">Al participar en la 87 Convención Bancaria, la candidata de la alianza opositora, Xóchitl Gálvez Ruiz, condenó los ataques del presidente Andrés Manuel López Obrador y de Morena contra el Poder Judicial y ofreció encabezar un gobierno que respete la división de poderes. Ante los asistentes al cónclave anual de banqueros, que le aplaudieron en repetidas ocasiones, la aspirante del PAN, PRI y PRD subrayó que de ganar las elecciones México tendrá el primer gobierno de coalición que respete la Constitución, los tratados internacionales, las leyes y las instituciones. "Yo, como ustedes, quiero un Poder Judicial independiente y una Suprema Corte de Justicia autónoma. Por eso, rechazo y condeno el vulgar asedo del Presidente y su candidata contra la Corte y el Poder Judicial.</w:t>
      </w:r>
    </w:p>
    <w:p>
      <w:hyperlink r:id="rId15" w:history="1">
        <w:r>
          <w:rPr>
            <w:color w:val="000DFF"/>
            <w:u w:val="single"/>
          </w:rPr>
          <w:t xml:space="preserve">El Universal</w:t>
        </w:r>
      </w:hyperlink>
    </w:p>
    <w:p>
      <w:hyperlink r:id="rId16" w:history="1">
        <w:r>
          <w:rPr>
            <w:color w:val="000DFF"/>
            <w:u w:val="single"/>
          </w:rPr>
          <w:t xml:space="preserve">Reforma</w:t>
        </w:r>
      </w:hyperlink>
    </w:p>
    <w:p>
      <w:hyperlink r:id="rId17" w:history="1">
        <w:r>
          <w:rPr>
            <w:color w:val="000DFF"/>
            <w:u w:val="single"/>
          </w:rPr>
          <w:t xml:space="preserve">El Sol de México</w:t>
        </w:r>
      </w:hyperlink>
    </w:p>
    <w:p>
      <w:hyperlink r:id="rId18" w:history="1">
        <w:r>
          <w:rPr>
            <w:color w:val="000DFF"/>
            <w:u w:val="single"/>
          </w:rPr>
          <w:t xml:space="preserve">La Crónica</w:t>
        </w:r>
      </w:hyperlink>
    </w:p>
    <w:p>
      <w:pPr/>
      <w:r>
        <w:rPr>
          <w:rFonts w:ascii="Tahoma" w:hAnsi="Tahoma" w:eastAsia="Tahoma" w:cs="Tahoma"/>
          <w:color w:val="1B2232"/>
          <w:sz w:val="20"/>
          <w:szCs w:val="20"/>
          <w:b/>
          <w:bCs/>
        </w:rPr>
        <w:t xml:space="preserve">CRITICA LA LÓGICA DE GASTO DE ADVERSARIAS </w:t>
      </w:r>
    </w:p>
    <w:p>
      <w:pPr/>
      <w:r>
        <w:rPr/>
        <w:t xml:space="preserve">Al señalar que no se bajará de la contienda presidencial ni declinará por alguna de sus adversarias, Jorge Álvarez Máynez criticó la lógica de gasto que ofrecen sus dos rivales a la Presidencia, puesto que ninguna ha planteado un esquema fiscal que garantice más ingresos al gobierno para programas sociales e infraestructura. El candidato presidencial de Movimiento Ciudadano pidió al sector empresarial y de banqueros su voto de confianza en las elecciones del 2 de junio. En entrevista con Leonardo Curzio durante la 87 Convención Bancaria, el político zacatecano aseguró que con un programa de activación física, vales culturales y una inversión de 50% del presupuesto total de infraestructura en materia educativa se puede alejar a las infancias y los jóvenes del crimen organizado.</w:t>
      </w:r>
    </w:p>
    <w:p>
      <w:hyperlink r:id="rId15" w:history="1">
        <w:r>
          <w:rPr>
            <w:color w:val="000DFF"/>
            <w:u w:val="single"/>
          </w:rPr>
          <w:t xml:space="preserve">El Universal</w:t>
        </w:r>
      </w:hyperlink>
    </w:p>
    <w:p>
      <w:hyperlink r:id="rId16" w:history="1">
        <w:r>
          <w:rPr>
            <w:color w:val="000DFF"/>
            <w:u w:val="single"/>
          </w:rPr>
          <w:t xml:space="preserve">Reforma</w:t>
        </w:r>
      </w:hyperlink>
    </w:p>
    <w:p>
      <w:pPr/>
      <w:r>
        <w:rPr>
          <w:rFonts w:ascii="Tahoma" w:hAnsi="Tahoma" w:eastAsia="Tahoma" w:cs="Tahoma"/>
          <w:color w:val="1B2232"/>
          <w:sz w:val="20"/>
          <w:szCs w:val="20"/>
          <w:b/>
          <w:bCs/>
        </w:rPr>
        <w:t xml:space="preserve">CONSIDERARÁ LABORES CIVILES DE MILITARES </w:t>
      </w:r>
    </w:p>
    <w:p>
      <w:pPr/>
      <w:r>
        <w:rPr/>
        <w:t xml:space="preserve">La candidata presidencial de la coalición Sigamos Haciendo Historia, Claudia Sheinbaum Pardo, consideró valorar si los militares deben seguir teniendo el control frente a obras construidas en esta administración, como el Tren Maya, el Interoceánico, así como aeropuertos. "Por lo pronto está asi, hay que mantenerlo de esa manera, valorarlo cómo está funcionando y, en todo caso, cambiar la situación, pero así como está, por ta pronto hay que mantenerlo", dijo sobre si es necesario que los militares sigan bajo el control de las obras construidas en la actual administración. En la 87 Convención Bancaria, también señaló que la participación de las Fuerzas Armadas en la construcción de las obras públicas debe seguir, y descartó que se hayan dejado de lado a las empresas de construcción.</w:t>
      </w:r>
    </w:p>
    <w:p>
      <w:hyperlink r:id="rId15" w:history="1">
        <w:r>
          <w:rPr>
            <w:color w:val="000DFF"/>
            <w:u w:val="single"/>
          </w:rPr>
          <w:t xml:space="preserve">El Universal</w:t>
        </w:r>
      </w:hyperlink>
    </w:p>
    <w:p>
      <w:hyperlink r:id="rId16" w:history="1">
        <w:r>
          <w:rPr>
            <w:color w:val="000DFF"/>
            <w:u w:val="single"/>
          </w:rPr>
          <w:t xml:space="preserve">Reforma</w:t>
        </w:r>
      </w:hyperlink>
    </w:p>
    <w:p>
      <w:hyperlink r:id="rId19" w:history="1">
        <w:r>
          <w:rPr>
            <w:color w:val="000DFF"/>
            <w:u w:val="single"/>
          </w:rPr>
          <w:t xml:space="preserve">Milenio</w:t>
        </w:r>
      </w:hyperlink>
    </w:p>
    <w:p>
      <w:hyperlink r:id="rId18" w:history="1">
        <w:r>
          <w:rPr>
            <w:color w:val="000DFF"/>
            <w:u w:val="single"/>
          </w:rPr>
          <w:t xml:space="preserve">La Crónica</w:t>
        </w:r>
      </w:hyperlink>
    </w:p>
    <w:p>
      <w:pPr/>
      <w:r>
        <w:rPr>
          <w:rFonts w:ascii="Tahoma" w:hAnsi="Tahoma" w:eastAsia="Tahoma" w:cs="Tahoma"/>
          <w:color w:val="1B2232"/>
          <w:sz w:val="20"/>
          <w:szCs w:val="20"/>
          <w:b/>
          <w:bCs/>
        </w:rPr>
        <w:t xml:space="preserve">AMLO Y SALINAS PLIEGO CHOCAN POR EL TEMA DE LAS AFORE</w:t>
      </w:r>
    </w:p>
    <w:p>
      <w:pPr/>
      <w:r>
        <w:rPr/>
        <w:t xml:space="preserve">La reforma piara que el gobierno administre 40 mil millones de presos de cuentas inactivas de las Afore abrió un nuevo episodio en el conflicto entre el presidente Andrés Manuel López Obrador y el presidente de Grupo Salinas, Ricardo Salinas Pliego. Ayer, el Mandatario acusó que en la campaña mediática contra la reforma para el uso de cuentas inactivas de las Afore, TV Azteca tiene conflicto de interés. Todo el programa de noticias de este señor Manuel López San Martín que está en Azteca, Javier Alatorre, todo tiene que ver con esto, Sergio Sarmiento, ellos están tomando partido, pertenecen a una corporación vinculada a Azteca, a una empresa, señaló el Presidente. En conferencia de prensa, advirtió que no se debe mezclar el derecho a ser dueños de una empresa con lo que tiene que ver con la comunicación y la información al pueblo. El Mandatario expuso que Grupo Salinas tiene Afore Azteca que, por ley, desde 2020 tiene que transferir al IMSS mil 847 millones de cuentas individuales inactivas y sólo ha regresado 19 millones, es decir, alrededor de 1% de los recursos. ¿Qué es lo que los lleva a mentir, a decir que nos vamos a robar las Afore? Pues esto, que es completamente legal. Ellos tienen mil 847 millones. Lo que tienen que transferir al Seguro Social, acusó.</w:t>
      </w:r>
    </w:p>
    <w:p>
      <w:hyperlink r:id="rId7" w:history="1">
        <w:r>
          <w:rPr>
            <w:color w:val="000DFF"/>
            <w:u w:val="single"/>
          </w:rPr>
          <w:t xml:space="preserve">El Universal</w:t>
        </w:r>
      </w:hyperlink>
    </w:p>
    <w:p>
      <w:hyperlink r:id="rId20" w:history="1">
        <w:r>
          <w:rPr>
            <w:color w:val="000DFF"/>
            <w:u w:val="single"/>
          </w:rPr>
          <w:t xml:space="preserve">Reforma</w:t>
        </w:r>
      </w:hyperlink>
    </w:p>
    <w:p>
      <w:hyperlink r:id="rId9" w:history="1">
        <w:r>
          <w:rPr>
            <w:color w:val="000DFF"/>
            <w:u w:val="single"/>
          </w:rPr>
          <w:t xml:space="preserve">La Jornada</w:t>
        </w:r>
      </w:hyperlink>
    </w:p>
    <w:p>
      <w:pPr/>
      <w:r>
        <w:rPr>
          <w:rFonts w:ascii="Tahoma" w:hAnsi="Tahoma" w:eastAsia="Tahoma" w:cs="Tahoma"/>
          <w:color w:val="1B2232"/>
          <w:sz w:val="20"/>
          <w:szCs w:val="20"/>
          <w:b/>
          <w:bCs/>
        </w:rPr>
        <w:t xml:space="preserve">AJUSTARÁN OPERACIÓN DE BANBIENESTAR</w:t>
      </w:r>
    </w:p>
    <w:p>
      <w:pPr/>
      <w:r>
        <w:rPr/>
        <w:t xml:space="preserve">El Gobierno federal está reconfigurando la operación de las sucursales del Banco del Bienestar para evitar saturaciones, garantizar la disposición de dinero en efectivo y hasta poner techos y sillas a los derechohabientes, informó el Presidente Andrés Manuel López Obrador. En la mañanera, el Mandatario explicó que una de las medidas es programar las entregas de dinero de acuerdo a la primera letra del apellido de los beneficiarios de programas sociales. Se está haciendo una reprogramación para que sea de acuerdo a la letra del apellido y se pueda dispersar el recurso con más tiempo de distribución, que no sea aglutine todo en un día, se satura la sucursal. También se está procurando que nunca falte el dinero, dijo. Hasta ahora se ha resuelto, no porque no exista el dinero, es un dinero protegido, intocable, sagrado, el de las pensiones, está en la Tesorería de la Federación, pero sí son muchas las camionetas de valores que se requieren para la distribución por todo el País y son comunidades muy apartadas. Cuestionado sobre quejas de beneficiarios, el Jefe del Ejecutivo reveló que también dio la instrucción de construir techos afuera de las sucursales para proteger del sol y la lluvia a los adultos mayores, así como colocar sillas. Y ya, porque no había techos fuera de los bancos, ya se dio la instrucción y ya se están construyendo cobertizos y techos para que los adultos mayores se protejan del sol y de la lluvia, ya se está haciendo, destacó en plena veda electoral.</w:t>
      </w:r>
    </w:p>
    <w:p>
      <w:hyperlink r:id="rId8"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CRÓNICA LEGISLATIVA Y JURIDICA</w:t>
      </w:r>
    </w:p>
    <w:p>
      <w:pPr/>
      <w:r>
        <w:rPr>
          <w:rFonts w:ascii="Tahoma" w:hAnsi="Tahoma" w:eastAsia="Tahoma" w:cs="Tahoma"/>
          <w:color w:val="1B2232"/>
          <w:sz w:val="20"/>
          <w:szCs w:val="20"/>
          <w:b/>
          <w:bCs/>
        </w:rPr>
        <w:t xml:space="preserve">REACTIVA SENADO EL MOCHE DIGITAL</w:t>
      </w:r>
    </w:p>
    <w:p>
      <w:pPr/>
      <w:r>
        <w:rPr/>
        <w:t xml:space="preserve">Un dictamen de las Comisiones Unidas de Economía y Estudios Legislativos Segunda del Senado propone reformar la Ley Federal de Derechos de Autor para obligar a productores y comercializadores de dispositivos tecnológicos a realizar un pago porcentual de la venta, como retribución por la reproducción de sus obras. El documento, programado para su discusión la próxima semana, plantea garantizar el derecho humano de los trabajadores creativos a ser retribuidos por su labor; sin embargo, no señala quién es el obligado a realizar el pago correspondiente. La reforma, propuesta por los senadores de Morena, Ricardo Monreal y Alejandro Armenia, actual candidato al Gobierno de Puebla, el entonces priista Miguel Ángel Osorio Chong y el perredista Miguel Ángel Mancera, señala que el pago de la remuneración compensatoria por reproducción será cubierto, de manera indistinta y solidaria, por los fabricantes o importadores de aparatos, dispositivos, soportes tecnológicos o cualquier otro que permita la copia o reproducción sonora, visual o audiovisual de obras conocidas o por conocerse. Esta remuneración, agrega, será efectiva a través de la Sociedad de Gestión Colectiva que corresponda y el Instituto Nacional del Derecho de Autor establecerá anualmente las tarifas correspondientes, así como los equipos, aparatos y soportes sujetos a dicho pago.</w:t>
      </w:r>
    </w:p>
    <w:p>
      <w:hyperlink r:id="rId21" w:history="1">
        <w:r>
          <w:rPr>
            <w:color w:val="000DFF"/>
            <w:u w:val="single"/>
          </w:rPr>
          <w:t xml:space="preserve">Reforma</w:t>
        </w:r>
      </w:hyperlink>
    </w:p>
    <w:p>
      <w:pPr/>
      <w:r>
        <w:rPr>
          <w:rFonts w:ascii="Tahoma" w:hAnsi="Tahoma" w:eastAsia="Tahoma" w:cs="Tahoma"/>
          <w:color w:val="1B2232"/>
          <w:sz w:val="20"/>
          <w:szCs w:val="20"/>
          <w:b/>
          <w:bCs/>
        </w:rPr>
        <w:t xml:space="preserve">FONDO INICIAL PARA PENSIONES SERA INSUFICIENTE</w:t>
      </w:r>
    </w:p>
    <w:p>
      <w:pPr/>
      <w:r>
        <w:rPr/>
        <w:t xml:space="preserve">El llamado Fondo de Pensiones del Bienestar que pretende crear Morena se iniciará con un fondo semilla que será insuficiente para pagar las pensiones al 100%, como ha prometido el presidente Andrés Manuel López Obrador. Hasta el momento sólo tiene garantizado (porque depende de cuántos reclamos de recursos haya) 40 mil millones de pesos de las cuentas inactivas de los trabajadores mayores de 70 años del IMSS y de 75 años del ISSSTE. Cifra mínima si se compara con los L5 billones de pesos que en 2024 se ejercerán para cubrir las pensiones de cerca de 25 millones de empleados afiliados al Seguro Social (la gran mayoría) y al ISSSTE, en ambos casos bajo el viejo régimen. Es por ello que legisladores y funcionarios de la autollamada Cuarta Transformación han tenido que salir a dar propuestas para tomar recursos de diferentes partes, mismas que no están contempladas en el dictamen que aprobarán Morena y sus aliados la próxima semana. Desde tomar parte de las utilidades del Tren Maya, Mexicana de Aviación y el Transístmico; ahorros presupuéstales del gobierno federal; adeudos de entes públicos al SAT, hasta incluir los remanentes del presupuesto de la Cámara de Diputados. </w:t>
      </w:r>
    </w:p>
    <w:p>
      <w:hyperlink r:id="rId7" w:history="1">
        <w:r>
          <w:rPr>
            <w:color w:val="000DFF"/>
            <w:u w:val="single"/>
          </w:rPr>
          <w:t xml:space="preserve">El Universal</w:t>
        </w:r>
      </w:hyperlink>
    </w:p>
    <w:p>
      <w:hyperlink r:id="rId22" w:history="1">
        <w:r>
          <w:rPr>
            <w:color w:val="000DFF"/>
            <w:u w:val="single"/>
          </w:rPr>
          <w:t xml:space="preserve">La Crónica</w:t>
        </w:r>
      </w:hyperlink>
    </w:p>
    <w:p>
      <w:hyperlink r:id="rId23" w:history="1">
        <w:r>
          <w:rPr>
            <w:color w:val="000DFF"/>
            <w:u w:val="single"/>
          </w:rPr>
          <w:t xml:space="preserve">Uno Mas Uno</w:t>
        </w:r>
      </w:hyperlink>
    </w:p>
    <w:p>
      <w:pPr/>
      <w:r>
        <w:rPr>
          <w:rFonts w:ascii="Tahoma" w:hAnsi="Tahoma" w:eastAsia="Tahoma" w:cs="Tahoma"/>
          <w:color w:val="1B2232"/>
          <w:sz w:val="20"/>
          <w:szCs w:val="20"/>
          <w:b/>
          <w:bCs/>
        </w:rPr>
        <w:t xml:space="preserve">PIDE NIETO CASTILLO A FISEL ANULAR INVESTIGACIÓN</w:t>
      </w:r>
    </w:p>
    <w:p>
      <w:pPr/>
      <w:r>
        <w:rPr/>
        <w:t xml:space="preserve">El candidato por Morena al Senado de la República, Santiago Nieto Castillo, solicitó a la Fiscalía Especializada piara la Atención de Delitos Electorales (Fisel) la cancelación de las carpetas de investigación iniciadas en su contra por el exgobernador de Tamaulipas, Francisco García Cabeza de Vaca, que alegaba que el extitular de la Unidad de Investigación Financiera no era originario de Querétaro. Así mismo, pidió a la Fisel que se realice un despliegue ministerial en esa entidad a fin de garantizar un ambiente electoral justo y seguro, a fin de prevenir e inhibir cualquier posible irregularidad. Nieto Castillo mostró en la Fisel copias certificadas del fallo emitido por el TEPJF donde lo reconocen como originario de Querétaro. ?El Tribunal me reconoce una residencia efectiva?, comentó el aspirante morenista al Senada Indicó que los abogados del pianista Francisco Javier García presentaron ante la Fisel y la Fiscalía General de Justicia de Querétaro una denuncia por presunta comisión de delitos electorales al alterar el Registro Federal de Electores y dar supuestamente información falsa de su domicilio en San Juan de Río, Querétaro En este sentido, Santiago Nieto indicó que acudió a la Fisel a solicitar la cancelación de las carpetas de investigación iniciadas por denuncias formuladas por el exgobernador de Tamaulipas.</w:t>
      </w:r>
    </w:p>
    <w:p>
      <w:hyperlink r:id="rId24" w:history="1">
        <w:r>
          <w:rPr>
            <w:color w:val="000DFF"/>
            <w:u w:val="single"/>
          </w:rPr>
          <w:t xml:space="preserve">El Universal</w:t>
        </w:r>
      </w:hyperlink>
    </w:p>
    <w:p>
      <w:pPr/>
      <w:r>
        <w:rPr>
          <w:rFonts w:ascii="Tahoma" w:hAnsi="Tahoma" w:eastAsia="Tahoma" w:cs="Tahoma"/>
          <w:color w:val="1B2232"/>
          <w:sz w:val="20"/>
          <w:szCs w:val="20"/>
          <w:b/>
          <w:bCs/>
        </w:rPr>
        <w:t xml:space="preserve">INE GARANTIZA REGISTRO DE REPRESENTANTES EN CASILLAS</w:t>
      </w:r>
    </w:p>
    <w:p>
      <w:pPr/>
      <w:r>
        <w:rPr/>
        <w:t xml:space="preserve">El Instituto Nacional Electoral (INE) puntualizó que está garantizado que los diferentes partidos políticos puedan realizar el registro de sus representantes ante las casillas para la jornada del próximo 2 de junio. EÍ registro podrá realizarse mediante el sistema manual (en papel) y también a través de medios electrónicos. Lo anterior, en acatamiento a la sentencia del Tribunal Electoral del Poder Judicial de la Federación (TEPJF), relativa a modificar el procedimiento de entrega y operación del sistema para la carga de los formatos de registro de los partidos político. La consejera presidenta del INE, Guadalupe Taddei, sostuvo que la instancia jurisdiccional escuchó en su resolución a los partidos políticos y al instituto, y revisó el contexto territorial en cada uno de los estados. Reconoció que se debe ser altamente respetuosos de las determinaciones del TEPJF, porque ello abona al entendimiento de la coexistencia de las partes administrativa y jurisdiccional en materia electoral, además de que no está divorciada una parte de la otra.</w:t>
      </w:r>
    </w:p>
    <w:p>
      <w:hyperlink r:id="rId24" w:history="1">
        <w:r>
          <w:rPr>
            <w:color w:val="000DFF"/>
            <w:u w:val="single"/>
          </w:rPr>
          <w:t xml:space="preserve">El Universal</w:t>
        </w:r>
      </w:hyperlink>
    </w:p>
    <w:p>
      <w:pPr/>
      <w:r>
        <w:rPr>
          <w:rFonts w:ascii="Tahoma" w:hAnsi="Tahoma" w:eastAsia="Tahoma" w:cs="Tahoma"/>
          <w:color w:val="1B2232"/>
          <w:sz w:val="20"/>
          <w:szCs w:val="20"/>
          <w:b/>
          <w:bCs/>
        </w:rPr>
        <w:t xml:space="preserve">CORTE BUSCA PROTEGER LA CONSTITUCIÓN</w:t>
      </w:r>
    </w:p>
    <w:p>
      <w:pPr/>
      <w:r>
        <w:rPr/>
        <w:t xml:space="preserve">El ministro de la Suprema Corte de Justicia de la Nación (SCJN), Juan Luis González Alcántara Carranca, afirmó que el juicio de amparo, las controversias constitucionales y las acciones de inconstitucionalidad son el producto de la lucha de dos siglos que forman el núcleo de la historia constitucional del país. Y derivado de ello, dijo, el Máximo Tribunal del país ha analizado los alcances de 1a transparencia pública, las remuneraciones de los servidores públicos, el contenido de los principios que regulan el uso de los recursos públicos, la regulación de la objeción de conciencia, entre otros temas.  En todos y cada uno de ellos hemos reflexionado y argumentado con miras a proteger nuestra Constitución y, sobre todo, servir a la sociedad, destacó. Indicó que si bien las acciones de inconstitucionalidad son el medio de control que otorga mayor campo de acción a la Suprema Corte, porque si se logra la mayoría requerida su resolución tiene efectos generales, esto también puede generar una mayor tensión con los ideales democráticos en nuestro país.</w:t>
      </w:r>
    </w:p>
    <w:p>
      <w:hyperlink r:id="rId25" w:history="1">
        <w:r>
          <w:rPr>
            <w:color w:val="000DFF"/>
            <w:u w:val="single"/>
          </w:rPr>
          <w:t xml:space="preserve">El Universal</w:t>
        </w:r>
      </w:hyperlink>
    </w:p>
    <w:p>
      <w:pPr/>
      <w:r>
        <w:rPr>
          <w:rFonts w:ascii="Tahoma" w:hAnsi="Tahoma" w:eastAsia="Tahoma" w:cs="Tahoma"/>
          <w:color w:val="1B2232"/>
          <w:sz w:val="20"/>
          <w:szCs w:val="20"/>
          <w:b/>
          <w:bCs/>
        </w:rPr>
        <w:t xml:space="preserve">DENUNCIAN ANTE EL IEE A ASPIRANTES DE MORENA</w:t>
      </w:r>
    </w:p>
    <w:p>
      <w:pPr/>
      <w:r>
        <w:rPr/>
        <w:t xml:space="preserve">Horas antes de que dé inicio formalmente la campaña electoral para diputados locales y presidentes municipales en Sonora se presentó una denuncia ante el Instituto Estatal Electoral (IEE) por la entrega en Alamos, Sonora, de insumos de Segalmex por parte de la planilla de Morena. La denuncia fue interpuesta vía Oficialía de Partes por el presidente del Comité Directivo del PRI en Álamos, Óscar Luis Luna Coronado. Con soporte de videos y fotografías, este viernes denunció que de la bodega propiedad de Sergio Javier Pacheco Valencia, candidato a regidor por Morena a la alcaldía de Álamos, ubicada sobre 1a carretera Álamos Navojoa, el gobierno federal está haciendo entrega de fertilizantes a agricultores en plena veda electoral. En el audio, Pacheco Valencia hizo la invitación a que reciban este apoyo de Segalmex. Para hacer una aclaración, habla Sergio Pacheco, los fertilizantes se están entregando en los almacenes míos, yo hace un año que los presté a Segalmex, están pegados a la ganadera.</w:t>
      </w:r>
    </w:p>
    <w:p>
      <w:hyperlink r:id="rId26" w:history="1">
        <w:r>
          <w:rPr>
            <w:color w:val="000DFF"/>
            <w:u w:val="single"/>
          </w:rPr>
          <w:t xml:space="preserve">El Universal</w:t>
        </w:r>
      </w:hyperlink>
    </w:p>
    <w:p>
      <w:pPr>
        <w:jc w:val="center"/>
        <w:spacing w:after="100"/>
      </w:pPr>
      <w:r>
        <w:rPr>
          <w:rFonts w:ascii="Tahoma" w:hAnsi="Tahoma" w:eastAsia="Tahoma" w:cs="Tahoma"/>
          <w:color w:val="1B2232"/>
          <w:sz w:val="28"/>
          <w:szCs w:val="28"/>
          <w:b/>
          <w:bCs/>
        </w:rPr>
        <w:t xml:space="preserve">ECONOMÍA</w:t>
      </w:r>
    </w:p>
    <w:p>
      <w:pPr/>
      <w:r>
        <w:rPr>
          <w:rFonts w:ascii="Tahoma" w:hAnsi="Tahoma" w:eastAsia="Tahoma" w:cs="Tahoma"/>
          <w:color w:val="1B2232"/>
          <w:sz w:val="20"/>
          <w:szCs w:val="20"/>
          <w:b/>
          <w:bCs/>
        </w:rPr>
        <w:t xml:space="preserve">BANQUEROS AGRADECEN A AMLO POR MANTENER REGLAS</w:t>
      </w:r>
    </w:p>
    <w:p>
      <w:pPr/>
      <w:r>
        <w:rPr/>
        <w:t xml:space="preserve">Los banqueros agradecieron al presidente Andrés Manuel López Obrador que haya cumplido su palabra de mantener las reglas del negocio a lo largo de su sexenio. Durante la clausura de la edición 87 de la Convención Bancaria, el presidente de la Asociación de Bancos de México (ABM), Julio Carranza, despidió al Mandatario federal, quien asistió por última vez al evento financiero más importante del país. "[El Presidente] fue muy claro en señalar que no cambiaría la regulación bancaria, que por años ha convergido con las mejores prácticas internacionales y supervisión. Dijo que no habría cambio de reglas y ha cumplido cabalmente, muchas gracias, señor Presidente", aseguró el líder de los banqueros en presencia de la gobernadora del Banco de México (Banxico), Victoria Rodríguez Ceja, así como del titular de la Secretaría de Hacienda y Crédito Público (SHCP), Rogelio Ramírez de la O. Carranza resaltó que la banca "está prestando como nunca", con más de 34 millones de tarjetas de crédito en circulación en el país, así como una gran colocación de financiamientos de nómina, préstamos personales e hipotecas.</w:t>
      </w:r>
    </w:p>
    <w:p>
      <w:hyperlink r:id="rId12" w:history="1">
        <w:r>
          <w:rPr>
            <w:color w:val="000DFF"/>
            <w:u w:val="single"/>
          </w:rPr>
          <w:t xml:space="preserve">El Universal</w:t>
        </w:r>
      </w:hyperlink>
    </w:p>
    <w:p>
      <w:pPr/>
      <w:r>
        <w:rPr>
          <w:rFonts w:ascii="Tahoma" w:hAnsi="Tahoma" w:eastAsia="Tahoma" w:cs="Tahoma"/>
          <w:color w:val="1B2232"/>
          <w:sz w:val="20"/>
          <w:szCs w:val="20"/>
          <w:b/>
          <w:bCs/>
        </w:rPr>
        <w:t xml:space="preserve">SUPERPESO, LA DIVISA MÁS PERDEDORA DURANTE LA SEMANA</w:t>
      </w:r>
    </w:p>
    <w:p>
      <w:pPr/>
      <w:r>
        <w:rPr/>
        <w:t xml:space="preserve">Tras haber alcanzado la noche del jueves un nivel de hasta 18.21 pesos por dólar, la moneda mexicana despidió la semana en 17.09 unidades en operaciones al mayoreo. El superpeso acumuló una pérdida de 2.9% o 47 centavos en comparación con el viernes de la semana pasada, de acuerdo con información de la agencia Bloomberg. Se trata de la segunda semana consecutiva de pérdidas ante el dólar. Entre las 36 principales monedas del mundo, el peso fue la más depreciada durante la semana. En el año, la divisa nacional acumula una pérdida de 0.8% o 14 centavos. La depreciación durante la semana se debió principalmente a dos factores: por una parte, el temor global que desató Israel al atacar el territorio de Irán, lo que confirma un escalamiento de las tensiones en Medio Oriente y puede ocasionar represalias adicionales en los próximos días, explicó Gabriela Siller, economista en jefe de banco Base. En segundo lugar, los inversionistas y operadores siguen consolidando la expectativa de que la Reserva Federal (Fed, por sus siglas en inglés) de Estados Unidos mantendrá su principal tasa de interés sin cambio durante más tiempo.</w:t>
      </w:r>
    </w:p>
    <w:p>
      <w:hyperlink r:id="rId12" w:history="1">
        <w:r>
          <w:rPr>
            <w:color w:val="000DFF"/>
            <w:u w:val="single"/>
          </w:rPr>
          <w:t xml:space="preserve">El Universal</w:t>
        </w:r>
      </w:hyperlink>
    </w:p>
    <w:p>
      <w:pPr/>
      <w:r>
        <w:rPr>
          <w:rFonts w:ascii="Tahoma" w:hAnsi="Tahoma" w:eastAsia="Tahoma" w:cs="Tahoma"/>
          <w:color w:val="1B2232"/>
          <w:sz w:val="20"/>
          <w:szCs w:val="20"/>
          <w:b/>
          <w:bCs/>
        </w:rPr>
        <w:t xml:space="preserve">SLIM ESTUDIA INVERSIONES DE 7 MIL 800 MDD EN BRASIL</w:t>
      </w:r>
    </w:p>
    <w:p>
      <w:pPr/>
      <w:r>
        <w:rPr/>
        <w:t xml:space="preserve">El magnate mexicano Carlos Slim anunció ayer, tras reunirse en Brasilia con el presidente brasileño, Luiz Inácio Lula da Silva, que estudia invertir unos 7 mil 800 millones de dólares en el país durante los próximos cinco años. Esas inversiones estarían destinadas a ampliar las operaciones de la empresa Claro, controlada por el grupo América Móvil, propiedad del empresario mexicano, en las áreas de redes 5G y fibra óptica, según explicó a periodistas después de la reunión con Lula, quien le recibió en el palacio presidencial de Planalto. Slim indicó que la suma que se propone invertir en Brasil es equivalente a la que ha destinado a Claro en los últimos cinco años y que su intención es "mantener el ritmo" de los negocios en el gigante sudamericano. También señaló que no se plantea adquirir otras empresas u operar en otras áreas, sino "invertir más y competir mejor" con Claro en el sector de telecomunicaciones. Slim dijo que su conversación con Lula "fue muy interesante" y elogió el estado de la economía brasileña, que "está cada vez mejor, con la inflación cada vez más baja", lo cual favorece el clima para los negocios e inversión.</w:t>
      </w:r>
    </w:p>
    <w:p>
      <w:hyperlink r:id="rId27" w:history="1">
        <w:r>
          <w:rPr>
            <w:color w:val="000DFF"/>
            <w:u w:val="single"/>
          </w:rPr>
          <w:t xml:space="preserve">El Universal</w:t>
        </w:r>
      </w:hyperlink>
    </w:p>
    <w:p>
      <w:pPr/>
      <w:r>
        <w:rPr>
          <w:rFonts w:ascii="Tahoma" w:hAnsi="Tahoma" w:eastAsia="Tahoma" w:cs="Tahoma"/>
          <w:color w:val="1B2232"/>
          <w:sz w:val="20"/>
          <w:szCs w:val="20"/>
          <w:b/>
          <w:bCs/>
        </w:rPr>
        <w:t xml:space="preserve">LAS VENTAS MINORISTAS CRECEN POR PRIMERA VEZ EN CUATRO MESES</w:t>
      </w:r>
    </w:p>
    <w:p>
      <w:pPr/>
      <w:r>
        <w:rPr/>
        <w:t xml:space="preserve">Las ventas al menudeo se expandieron por primera vez en cuatro meses, de acuerdo con los resultados de la Encuesta Mensual sobre Empresas Comerciales (EMEC) del Instituto Nacional de Estadística y Geografía (Inegi). El comercio al por menor se incrementó 0.4% en febrero al compararlo con enero de este año, dando fin aúna racha negativa que comenzó en noviembre del año pasado al restar la inflación. Si bien el cierre de 2023 y el arranque de año para las ventas al menudeo fue débil, el resultado de febrero, así como algunos factores más inmediatos, resultan en un panorama relativamente más positivo para los próximos meses, opinaron analistas de Banorte. Consideraron que la veda electoral, que resultó en el pago adelantado de programas sociales, se reflejó en los resultados de febrero. La solidez en los fundamentales del consumo continuará, especialmente en el mercado laboral, cuya tasa de desempleo tocara un nuevo mínimo histórico en marzo, mientras que el efecto faro continuará permeando en los salarios, estimaron en el banco. </w:t>
      </w:r>
    </w:p>
    <w:p>
      <w:hyperlink r:id="rId27" w:history="1">
        <w:r>
          <w:rPr>
            <w:color w:val="000DFF"/>
            <w:u w:val="single"/>
          </w:rPr>
          <w:t xml:space="preserve">El Universal</w:t>
        </w:r>
      </w:hyperlink>
    </w:p>
    <w:p>
      <w:pPr/>
      <w:r>
        <w:rPr>
          <w:rFonts w:ascii="Tahoma" w:hAnsi="Tahoma" w:eastAsia="Tahoma" w:cs="Tahoma"/>
          <w:color w:val="1B2232"/>
          <w:sz w:val="20"/>
          <w:szCs w:val="20"/>
          <w:b/>
          <w:bCs/>
        </w:rPr>
        <w:t xml:space="preserve">PRESUMEN A AMLO PAGO DE IMPUESTOS</w:t>
      </w:r>
    </w:p>
    <w:p>
      <w:pPr/>
      <w:r>
        <w:rPr/>
        <w:t xml:space="preserve">El gremio bancario lanzó ante el Presidente Andrés Manuel López Obrador un discurso de cacareo sobre' su inversión y aporte en el pago de impuestos del País, al asegurar que son el sector que más contribuye. En la clausura de la 87 Convención Bancaria, que es la sexta y última de López Obrador como Presidente, la Asociación de Bancos de México (ABM) presumió que, de finales de 2018 a la fecha, el capital neto invertido por la banca creció 60 por ciento y alcanzó 1.6 billones de pesos. "Podemos decir con orgullo que la banca es el sector que más invierte en México y uno de los que más contribuyen en el pago de impuestos al País", aseveró Julio Carranza, presidente de la ABM. Agradeció además al Presidente haber respetado la autonomía del Banco de México y cumplir la promesa que lanzó al principio de su Gobierno de que no habría un cambio de reglas para la banca. "Desde su primera participación en 2019 usted transmitió a los banqueros un mensaje de certidumbre y confianza fundamentales para el desarrollo y el crecimiento económico. </w:t>
      </w:r>
    </w:p>
    <w:p>
      <w:hyperlink r:id="rId13"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SEGURIDAD</w:t>
      </w:r>
    </w:p>
    <w:p>
      <w:pPr/>
      <w:r>
        <w:rPr>
          <w:rFonts w:ascii="Tahoma" w:hAnsi="Tahoma" w:eastAsia="Tahoma" w:cs="Tahoma"/>
          <w:color w:val="1B2232"/>
          <w:sz w:val="20"/>
          <w:szCs w:val="20"/>
          <w:b/>
          <w:bCs/>
        </w:rPr>
        <w:t xml:space="preserve">ASESINAN DURANTE UNA GIRA A NOÉ RAMOS</w:t>
      </w:r>
    </w:p>
    <w:p>
      <w:pPr/>
      <w:r>
        <w:rPr/>
        <w:t xml:space="preserve">Luego de almorzar en un domicilio de la colonia Azucarera, el candidato a la reelección como alcalde de Ciudad Mante por la coalición Fuerza y Corazón por Tamaulipas (PAN-PRI), Édgar Noé Ramos Ferretiz, de 42 años, fue atacado por un hombre, quien lo asesinó de una puñalada El asesinato ocurrió en pleno recorrido proselitista de Noé Ramos, quien minutos antes fue invitado a comer tamales con frijoles. Su último mensaje lo compartió a través de su cuenta de Facebook "Aquí estamos comiendo unos tamalitos que me invitaron, lo que es una tradición en Mante. Para mí la verdad es algo muy especial que la gente me dé un vaso de agua, me invite un taco, me den tamales, es algo que agradezco muchísimo". Hasta el lugar del crimen llegaron agentes del Ministerio Público, elementos de la Policía Investigadora y peritos de la Fiscalía General de Justicia del Estado (FGJE), para realizar las primeras diligencias.</w:t>
      </w:r>
    </w:p>
    <w:p>
      <w:hyperlink r:id="rId26" w:history="1">
        <w:r>
          <w:rPr>
            <w:color w:val="000DFF"/>
            <w:u w:val="single"/>
          </w:rPr>
          <w:t xml:space="preserve">El Universal</w:t>
        </w:r>
      </w:hyperlink>
    </w:p>
    <w:p>
      <w:hyperlink r:id="rId28" w:history="1">
        <w:r>
          <w:rPr>
            <w:color w:val="000DFF"/>
            <w:u w:val="single"/>
          </w:rPr>
          <w:t xml:space="preserve">Reforma</w:t>
        </w:r>
      </w:hyperlink>
    </w:p>
    <w:p>
      <w:pPr/>
      <w:r>
        <w:rPr>
          <w:rFonts w:ascii="Tahoma" w:hAnsi="Tahoma" w:eastAsia="Tahoma" w:cs="Tahoma"/>
          <w:color w:val="1B2232"/>
          <w:sz w:val="20"/>
          <w:szCs w:val="20"/>
          <w:b/>
          <w:bCs/>
        </w:rPr>
        <w:t xml:space="preserve">MATAN A ABANDERADO MORENISTA A ALCALDÍA</w:t>
      </w:r>
    </w:p>
    <w:p>
      <w:pPr/>
      <w:r>
        <w:rPr/>
        <w:t xml:space="preserve">Alberto Antonio García, tesorero y candidato de Morena a la presidencia municipial de San José Independencia, fue asesinado tras ser privado de la libertad junto con su espesa, Agar Cancino, actual edil, quien fue liberada tras dos días de permanecer desaparecidos, confirmó a EL UNIVERSAL la Fiscalía General del Estado de Oaxaca (FGEO). Antonio García había sido confirmado como candidato a la presidencia municipal el 27 de febrero pasado per la dirigencia estatal morenista y se encontraba preparando su campaña y la planilla que lo acompañaría. Luego de que la fiscalía oaxaqueña confirmó su desaparición, fuentes de seguridad pública del municipio de Tuxtepec informaron sobre un operativo en las inmediaciones de las calles Mancilla y Roberto Colorado en la zona centro de Tuxtepec donde presuntamente había una casa de seguridad relacionada con el probable secuestro de la alcaldesa y su esposo, pero esto fue descartado.</w:t>
      </w:r>
    </w:p>
    <w:p>
      <w:hyperlink r:id="rId26" w:history="1">
        <w:r>
          <w:rPr>
            <w:color w:val="000DFF"/>
            <w:u w:val="single"/>
          </w:rPr>
          <w:t xml:space="preserve">El Universal</w:t>
        </w:r>
      </w:hyperlink>
    </w:p>
    <w:p>
      <w:hyperlink r:id="rId28" w:history="1">
        <w:r>
          <w:rPr>
            <w:color w:val="000DFF"/>
            <w:u w:val="single"/>
          </w:rPr>
          <w:t xml:space="preserve">Reforma</w:t>
        </w:r>
      </w:hyperlink>
    </w:p>
    <w:p>
      <w:pPr/>
      <w:r>
        <w:rPr>
          <w:rFonts w:ascii="Tahoma" w:hAnsi="Tahoma" w:eastAsia="Tahoma" w:cs="Tahoma"/>
          <w:color w:val="1B2232"/>
          <w:sz w:val="20"/>
          <w:szCs w:val="20"/>
          <w:b/>
          <w:bCs/>
        </w:rPr>
        <w:t xml:space="preserve">CONFIRMAN DETENCIÓN DE CINCO POLICÍAS DEL MUNICIPIO DE TLALTENANGO</w:t>
      </w:r>
    </w:p>
    <w:p>
      <w:pPr/>
      <w:r>
        <w:rPr/>
        <w:t xml:space="preserve">El fiscal de Zacatecas, Cristian Camacho Osnaya, confirmó la detención de cinco elementos policiales del municipio de Tlaltenango, entre ellos el director de la corporación, por los delitos de lesiones calificadas, robo y abuso de autoridad, derivado de la golpiza y detención ilegal de un ciudadano que grabó una trifulca en un mitin político. Los hechos ocurrieron el pasado domingo en un evento de varios candidatos de la coalición Fuerza y Corazón por México, donde dos hombres se acercaron al templete para reclamar, lo que generó problemas con los integrantes de los equipos de campaña, quienes fueron a retirar a los manifestantes, lo que desencadenó en un pleito en donde intervino la policía preventiva. El fiscal mencionó que un civil ajeno al conflicto grabó un video del altercado, pero unas calles más adelante lo abordaron elementos de seguridad y lo lesionaron, además de detenerlo sin justificación alguna.</w:t>
      </w:r>
    </w:p>
    <w:p>
      <w:hyperlink r:id="rId26" w:history="1">
        <w:r>
          <w:rPr>
            <w:color w:val="000DFF"/>
            <w:u w:val="single"/>
          </w:rPr>
          <w:t xml:space="preserve">El Universal</w:t>
        </w:r>
      </w:hyperlink>
    </w:p>
    <w:p>
      <w:pPr/>
      <w:r>
        <w:rPr>
          <w:rFonts w:ascii="Tahoma" w:hAnsi="Tahoma" w:eastAsia="Tahoma" w:cs="Tahoma"/>
          <w:color w:val="1B2232"/>
          <w:sz w:val="20"/>
          <w:szCs w:val="20"/>
          <w:b/>
          <w:bCs/>
        </w:rPr>
        <w:t xml:space="preserve">INDAGAN A PRESUNTO FEMINICIDA SERIAL</w:t>
      </w:r>
    </w:p>
    <w:p>
      <w:pPr/>
      <w:r>
        <w:rPr/>
        <w:t xml:space="preserve">El encargado de despacho de la Fiscalía General de Justicia (FGJ), Ulises Lara, confirmó la noche del viernes que Miguel Cortés Miranda es un feminicida serial, implicado en la desaparición de varias mujeres. Tras realizar un cateo la noche del jueves en el domicilio del sujeto en La Cruz Coyuya, en Iztacalco, Lara indicó que además de hallar restos óseos, manchas flemáticas y herramientas, los agentes encontraron identificaciones de mujeres reportadas como desaparecidas. Fuentes ministeriales señalaron que podría estar relacionado en por lo menos siete desapariciones, entre ellas la de Frida Lima Rivera, quien fuera su pareja sentimental, y una compañera de trabajo, identificada como Viviana Garrida Según la información consultada, continúan con los análisis de los hallazgos realizados en su domicilio, huesos y osamentas para determinar a quiénes corresponden, además se hará la confronta con las carpetas de investigación en las que se encuentra relacionado. En el cateo encontraron libretas en donde narró los crímenes de algunas víctimas, teléfonos celulares, discos y una memoria.</w:t>
      </w:r>
    </w:p>
    <w:p>
      <w:hyperlink r:id="rId29" w:history="1">
        <w:r>
          <w:rPr>
            <w:color w:val="000DFF"/>
            <w:u w:val="single"/>
          </w:rPr>
          <w:t xml:space="preserve">El Universal</w:t>
        </w:r>
      </w:hyperlink>
    </w:p>
    <w:p>
      <w:hyperlink r:id="rId30" w:history="1">
        <w:r>
          <w:rPr>
            <w:color w:val="000DFF"/>
            <w:u w:val="single"/>
          </w:rPr>
          <w:t xml:space="preserve">Reforma</w:t>
        </w:r>
      </w:hyperlink>
    </w:p>
    <w:p>
      <w:pPr/>
      <w:r>
        <w:rPr>
          <w:rFonts w:ascii="Tahoma" w:hAnsi="Tahoma" w:eastAsia="Tahoma" w:cs="Tahoma"/>
          <w:color w:val="1B2232"/>
          <w:sz w:val="20"/>
          <w:szCs w:val="20"/>
          <w:b/>
          <w:bCs/>
        </w:rPr>
        <w:t xml:space="preserve">SUMAN 22 ESTUDIANTES ILOCALIZADOS DE LA UDEG</w:t>
      </w:r>
    </w:p>
    <w:p>
      <w:pPr/>
      <w:r>
        <w:rPr/>
        <w:t xml:space="preserve">Con la desaparición de Aldo González, estudiante del Centro Universitario de Ciencias de la Salud, suman 22 casos de integrantes de la Universidad de Guadalajara (UdeG), entre estudiantes, académicos y personal, que están desaparecidos, informó el Coordinador de Seguridad Universitaria, Montalberti Serrano Cervantes. Aldo fue visto por última vez el 13 de abril cuando salía de la escuela, y hasta anoche las autoridades continuaban sin localizarlo. Sin embargo, como él hay todavía 21 personas que no han vuelto a casa; los casos más antiguos datan del 2014 y en cuatro de ellos hay indicios de que se trató de un secuestro o que las víctimas fueron sacadas violentamente de sus casas. "Hay personas desaparecidas de San José del Valle, de Tepatitlán, de CUValles, de la Prepa 17, de CULagos, CUAltos, en la Preparatoria de Tonalá, en CUCEI y ahora el (Centro Universitario de) Ciencias de la Salud, la verdad es que de todas partes tenemos desaparecidos", alertó el académico.</w:t>
      </w:r>
    </w:p>
    <w:p>
      <w:hyperlink r:id="rId21" w:history="1">
        <w:r>
          <w:rPr>
            <w:color w:val="000DFF"/>
            <w:u w:val="single"/>
          </w:rPr>
          <w:t xml:space="preserve">Reforma</w:t>
        </w:r>
      </w:hyperlink>
    </w:p>
    <w:p>
      <w:pPr>
        <w:jc w:val="center"/>
        <w:spacing w:after="100"/>
      </w:pPr>
      <w:r>
        <w:rPr>
          <w:rFonts w:ascii="Tahoma" w:hAnsi="Tahoma" w:eastAsia="Tahoma" w:cs="Tahoma"/>
          <w:color w:val="1B2232"/>
          <w:sz w:val="28"/>
          <w:szCs w:val="28"/>
          <w:b/>
          <w:bCs/>
        </w:rPr>
        <w:t xml:space="preserve">INTERNACIONAL</w:t>
      </w:r>
    </w:p>
    <w:p>
      <w:pPr/>
      <w:r>
        <w:rPr>
          <w:rFonts w:ascii="Tahoma" w:hAnsi="Tahoma" w:eastAsia="Tahoma" w:cs="Tahoma"/>
          <w:color w:val="1B2232"/>
          <w:sz w:val="20"/>
          <w:szCs w:val="20"/>
          <w:b/>
          <w:bCs/>
        </w:rPr>
        <w:t xml:space="preserve">SE INMOLA AFUERA DE JUICIO A TRUMP</w:t>
      </w:r>
    </w:p>
    <w:p>
      <w:pPr/>
      <w:r>
        <w:rPr/>
        <w:t xml:space="preserve">La primera semana del juicio penal contra el ex Presidente Donald Trump terminó con una perturbadora noticia: un hombre de 37 años se prendió fuego afuera del tribunal, un suceso que eclipsó los procedimientos judiciales del día. La noticia de la inmolación recorrió los círculos de prensa justo después de que los últimos 5 miembros suplentes del jurado del caso contra el ex Mandatario los 12 jurados titulares y un suplente fueron elegidos el jueves prestaran juramento. El hombre, que había acudido a la sede del Tribunal de Manhattan a principios de la semana, se roció con combustible a las 13:35 horas locales en Collect Pond Park, al otro lado de la calle. Algunas personas intentaron apagar las llamas, pero la intensidad del calor les impidió acercarse. Minutos después llegaron decenas de policías que treparon por las bandeadas para extinguir el fuego. El hombre, identificado como Max Azzarello, fue trasladado en ambulancia a toda prisa Según las autoridades, su condición es crítica y tiene pocas probabilidades de sobrevivir. Pese al incidente, el ritmo del juicio, que ha sido más rápido de lo esperado, no aflojó.</w:t>
      </w:r>
    </w:p>
    <w:p>
      <w:hyperlink r:id="rId31" w:history="1">
        <w:r>
          <w:rPr>
            <w:color w:val="000DFF"/>
            <w:u w:val="single"/>
          </w:rPr>
          <w:t xml:space="preserve">El Universal</w:t>
        </w:r>
      </w:hyperlink>
    </w:p>
    <w:p>
      <w:hyperlink r:id="rId32" w:history="1">
        <w:r>
          <w:rPr>
            <w:color w:val="000DFF"/>
            <w:u w:val="single"/>
          </w:rPr>
          <w:t xml:space="preserve">Reforma</w:t>
        </w:r>
      </w:hyperlink>
    </w:p>
    <w:sectPr>
      <w:headerReference w:type="default" r:id="rId33"/>
      <w:headerReference w:type="default" r:id="rId34"/>
      <w:pgSz w:orient="portrait" w:w="11905.511811024" w:h="16837.795275591"/>
      <w:pgMar w:top="1440" w:right="1440" w:bottom="1440" w:left="144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pPr>
    <w:r>
      <w:rPr>
        <w:rFonts w:ascii="Tahoma" w:hAnsi="Tahoma" w:eastAsia="Tahoma" w:cs="Tahoma"/>
        <w:color w:val="000000"/>
        <w:sz w:val="24"/>
        <w:szCs w:val="24"/>
        <w:b/>
        <w:bCs/>
      </w:rPr>
      <w:t xml:space="preserve">06-12-2025</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Arial" w:hAnsi="Arial" w:eastAsia="Arial" w:cs="Arial"/>
        <w:sz w:val="20"/>
        <w:szCs w:val="20"/>
        <w:lang w:val="en-US"/>
      </w:rPr>
    </w:rPrDefault>
  </w:docDefaults>
  <w:style w:type="paragraph" w:default="1" w:styleId="Normal">
    <w:name w:val="Normal"/>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hyperlink" Target="http://www.gaimpresos.com/Periodicos/El%20Universal/2024-04-20/8_A.pdf" TargetMode="External"/><Relationship Id="rId8" Type="http://schemas.openxmlformats.org/officeDocument/2006/relationships/hyperlink" Target="http://www.gaimpresos.com/Periodicos/El%20Reforma/2024-04-20/A_3.pdf" TargetMode="External"/><Relationship Id="rId9" Type="http://schemas.openxmlformats.org/officeDocument/2006/relationships/hyperlink" Target="http://www.gaimpresos.com/Periodicos/La%20Jornada%20De%20Mexico/2024-04-20/5_A.pdf" TargetMode="External"/><Relationship Id="rId10" Type="http://schemas.openxmlformats.org/officeDocument/2006/relationships/hyperlink" Target="http://www.gaimpresos.com/Periodicos/Excelsior/2024-04-20/6_A.pdf" TargetMode="External"/><Relationship Id="rId11" Type="http://schemas.openxmlformats.org/officeDocument/2006/relationships/hyperlink" Target="http://www.gaimpresos.com/Periodicos/Basta!/2024-04-20/3_A.pdf" TargetMode="External"/><Relationship Id="rId12" Type="http://schemas.openxmlformats.org/officeDocument/2006/relationships/hyperlink" Target="http://www.gaimpresos.com/Periodicos/El%20Universal/2024-04-20/20_A.pdf" TargetMode="External"/><Relationship Id="rId13" Type="http://schemas.openxmlformats.org/officeDocument/2006/relationships/hyperlink" Target="http://www.gaimpresos.com/Periodicos/El%20Reforma/2024-04-20/A_5.pdf" TargetMode="External"/><Relationship Id="rId14" Type="http://schemas.openxmlformats.org/officeDocument/2006/relationships/hyperlink" Target="http://www.gaimpresos.com/Periodicos/La%20Razon/2024-04-20/11_A.pdf" TargetMode="External"/><Relationship Id="rId15" Type="http://schemas.openxmlformats.org/officeDocument/2006/relationships/hyperlink" Target="http://www.gaimpresos.com/Periodicos/El%20Universal/2024-04-20/4_A.pdf" TargetMode="External"/><Relationship Id="rId16" Type="http://schemas.openxmlformats.org/officeDocument/2006/relationships/hyperlink" Target="http://www.gaimpresos.com/Periodicos/El%20Reforma/2024-04-20/A_6.pdf" TargetMode="External"/><Relationship Id="rId17" Type="http://schemas.openxmlformats.org/officeDocument/2006/relationships/hyperlink" Target="http://www.gaimpresos.com/Periodicos/el%20sol%20de%20mexico/2024-04-20/1_A.pdf" TargetMode="External"/><Relationship Id="rId18" Type="http://schemas.openxmlformats.org/officeDocument/2006/relationships/hyperlink" Target="http://www.gaimpresos.com/Periodicos/La%20cronica/2024-04-20/1_A.pdf" TargetMode="External"/><Relationship Id="rId19" Type="http://schemas.openxmlformats.org/officeDocument/2006/relationships/hyperlink" Target="http://www.gaimpresos.com/Periodicos/El%20milenio%20Nacional/2024-04-20/4_A.pdf" TargetMode="External"/><Relationship Id="rId20" Type="http://schemas.openxmlformats.org/officeDocument/2006/relationships/hyperlink" Target="http://www.gaimpresos.com/Periodicos/El%20Reforma/2024-04-20/A_1.pdf" TargetMode="External"/><Relationship Id="rId21" Type="http://schemas.openxmlformats.org/officeDocument/2006/relationships/hyperlink" Target="http://www.gaimpresos.com/Periodicos/El%20Reforma/2024-04-20/A_2.pdf" TargetMode="External"/><Relationship Id="rId22" Type="http://schemas.openxmlformats.org/officeDocument/2006/relationships/hyperlink" Target="http://www.gaimpresos.com/Periodicos/La%20cronica/2024-04-20/5_A.pdf" TargetMode="External"/><Relationship Id="rId23" Type="http://schemas.openxmlformats.org/officeDocument/2006/relationships/hyperlink" Target="http://www.gaimpresos.com/Periodicos/Uno%20Mas%20Uno/2024-04-20/2_A.pdf" TargetMode="External"/><Relationship Id="rId24" Type="http://schemas.openxmlformats.org/officeDocument/2006/relationships/hyperlink" Target="http://www.gaimpresos.com/Periodicos/El%20Universal/2024-04-20/5_A.pdf" TargetMode="External"/><Relationship Id="rId25" Type="http://schemas.openxmlformats.org/officeDocument/2006/relationships/hyperlink" Target="http://www.gaimpresos.com/Periodicos/El%20Universal/2024-04-20/10_A.pdf" TargetMode="External"/><Relationship Id="rId26" Type="http://schemas.openxmlformats.org/officeDocument/2006/relationships/hyperlink" Target="http://www.gaimpresos.com/Periodicos/El%20Universal/2024-04-20/7_A.pdf" TargetMode="External"/><Relationship Id="rId27" Type="http://schemas.openxmlformats.org/officeDocument/2006/relationships/hyperlink" Target="http://www.gaimpresos.com/Periodicos/El%20Universal/2024-04-20/21_A.pdf" TargetMode="External"/><Relationship Id="rId28" Type="http://schemas.openxmlformats.org/officeDocument/2006/relationships/hyperlink" Target="http://www.gaimpresos.com/Periodicos/El%20Reforma/2024-04-20/A_10.pdf" TargetMode="External"/><Relationship Id="rId29" Type="http://schemas.openxmlformats.org/officeDocument/2006/relationships/hyperlink" Target="http://www.gaimpresos.com/Periodicos/El%20Universal/2024-04-20/19_A.pdf" TargetMode="External"/><Relationship Id="rId30" Type="http://schemas.openxmlformats.org/officeDocument/2006/relationships/hyperlink" Target="http://www.gaimpresos.com/Periodicos/El%20Reforma/2024-04-20/CIU_4.pdf" TargetMode="External"/><Relationship Id="rId31" Type="http://schemas.openxmlformats.org/officeDocument/2006/relationships/hyperlink" Target="http://www.gaimpresos.com/Periodicos/El%20Universal/2024-04-20/14_A.pdf" TargetMode="External"/><Relationship Id="rId32" Type="http://schemas.openxmlformats.org/officeDocument/2006/relationships/hyperlink" Target="http://www.gaimpresos.com/Periodicos/El%20Reforma/2024-04-20/A_11.pdf" TargetMode="External"/><Relationship Id="rId33" Type="http://schemas.openxmlformats.org/officeDocument/2006/relationships/header" Target="header1.xml"/><Relationship Id="rId3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2025-12-06T12:48:12-06:00</dcterms:created>
  <dcterms:modified xsi:type="dcterms:W3CDTF">2025-12-06T12:48:12-06:00</dcterms:modified>
</cp:coreProperties>
</file>

<file path=docProps/custom.xml><?xml version="1.0" encoding="utf-8"?>
<Properties xmlns="http://schemas.openxmlformats.org/officeDocument/2006/custom-properties" xmlns:vt="http://schemas.openxmlformats.org/officeDocument/2006/docPropsVTypes"/>
</file>