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spacing w:after="100"/>
      </w:pPr>
      <w:r>
        <w:rPr>
          <w:rFonts w:ascii="Tahoma" w:hAnsi="Tahoma" w:eastAsia="Tahoma" w:cs="Tahoma"/>
          <w:color w:val="1B2232"/>
          <w:sz w:val="28"/>
          <w:szCs w:val="28"/>
          <w:b/>
          <w:bCs/>
        </w:rPr>
        <w:t xml:space="preserve">PULSO NACIONAL</w:t>
      </w:r>
    </w:p>
    <w:p>
      <w:pPr/>
      <w:r>
        <w:rPr>
          <w:rFonts w:ascii="Tahoma" w:hAnsi="Tahoma" w:eastAsia="Tahoma" w:cs="Tahoma"/>
          <w:color w:val="1B2232"/>
          <w:sz w:val="20"/>
          <w:szCs w:val="20"/>
          <w:b/>
          <w:bCs/>
        </w:rPr>
        <w:t xml:space="preserve">AFORES QUIEREN QUEDARSE CON RECURSOS NO RECLAMADOS POR TRABAJADORES: AMLO </w:t>
      </w:r>
    </w:p>
    <w:p>
      <w:pPr/>
      <w:r>
        <w:rPr/>
        <w:t xml:space="preserve">Las Asociaciones de Fondos para el Retiro (Afores) quieren quedarse con los recursos no reclamados por los trabajadores, "o entregarlo poco a poco para que sude el dinero y tengan beneficios", acusó el presidente Andrés Manuel López Obrador. Explicó que debido a que repara el daño causado a los trabajadores por los gobiernos neoliberales, y obliga a las Afores a devolver la administración de su dinero a los empleados, la reforma a pensiones enfrenta una campaña en su contra. El Jefe del Ejecutivo se refirió así a las reformas constitucionales en materia de pensiones aprobadas durante los gobiernos de los expresidentes Ernesto Zedillo y de Felipe Calderón, a las cuales calificó como parte de la "política de pillaje" que padeció el país. "Por eso les molesta mucho que se hable de que se toma la decisión de crear un Fondo de Pensiones para el Bienestar con el propósito de compensar a los trabajadores y que cuando se jubilen en vez de recibir el 30, 40, el 50 por ciento, reciban el 100 por ciento de su sueldo", detalló el Primer Mandatario. Durante su conferencia matutina, el presidente acusó a sus adversarios de señalar que el gobierno quiere expropiar las Afores. "Como las Afores son corporaciones financieras muy fuertes y tienen control de la mayoría de los medios de comunicación, existe una campaña en contra de esta propuesta", explicó. Añadió que "lo otro que les molesta mucho" es que las Afores, que administran las pensiones, cuentan con una cantidad de recursos "no reclamados por los trabajadores" que por ley deben entregar al Instituto Mexicano del Seguro Social. "</w:t>
      </w:r>
    </w:p>
    <w:p>
      <w:hyperlink r:id="rId7" w:history="1">
        <w:r>
          <w:rPr>
            <w:color w:val="000DFF"/>
            <w:u w:val="single"/>
          </w:rPr>
          <w:t xml:space="preserve">La Crónica</w:t>
        </w:r>
      </w:hyperlink>
    </w:p>
    <w:p>
      <w:pPr/>
      <w:r>
        <w:rPr>
          <w:rFonts w:ascii="Tahoma" w:hAnsi="Tahoma" w:eastAsia="Tahoma" w:cs="Tahoma"/>
          <w:color w:val="1B2232"/>
          <w:sz w:val="20"/>
          <w:szCs w:val="20"/>
          <w:b/>
          <w:bCs/>
        </w:rPr>
        <w:t xml:space="preserve">MINISTRO ZALDÍVAR VA SEGUIR EN MI EQUIPO</w:t>
      </w:r>
    </w:p>
    <w:p>
      <w:pPr/>
      <w:r>
        <w:rPr/>
        <w:t xml:space="preserve">La candidata presidencial de la coalición Sigamos Haciendo Historia, Claudia Sheinbaum Pardo, salió en defensa de Arturo Zaldívar Lelo de Larrea al asegurar que seguirá en su equipo de campaña píese a las investigaciones de la Suprema Corte de Justicia de la Nación (SCJN) en su contra. Sheinbaum Pardo volvió a criticar que los ministros de la Corte asumen atribuciones que no les corresponden, incluso intervienen en el proceso electoral. Yo no veo razón para que el ministro en retiro Zaldívar no siga participando, lo que tenemos que discutir de fondo son las atribuciones que se está tomando esta Corte, ahora sí que fuera de toda norma, dijo en conferencia de prensa. Sheinbaum Pardo reiteró que el ministro en retiro va a seguir participando, y aclaró que el fondo del asunto cómo es posible que la Corte o los ministros de la Corte hagan una investigación de este tipio, la intervención en el proceso electoral es de los ministros de la Corte, opinó. La abanderada de Morena habló de los privilegios de que gozan los ministros para realizar una investigación en 24 horas, en todo caso quien debe investigar es la fiscalía General de la República, consideró.</w:t>
      </w:r>
    </w:p>
    <w:p>
      <w:hyperlink r:id="rId8" w:history="1">
        <w:r>
          <w:rPr>
            <w:color w:val="000DFF"/>
            <w:u w:val="single"/>
          </w:rPr>
          <w:t xml:space="preserve">El Universal</w:t>
        </w:r>
      </w:hyperlink>
    </w:p>
    <w:p>
      <w:hyperlink r:id="rId9" w:history="1">
        <w:r>
          <w:rPr>
            <w:color w:val="000DFF"/>
            <w:u w:val="single"/>
          </w:rPr>
          <w:t xml:space="preserve">ContraRéplica</w:t>
        </w:r>
      </w:hyperlink>
    </w:p>
    <w:p>
      <w:pPr/>
      <w:r>
        <w:rPr>
          <w:rFonts w:ascii="Tahoma" w:hAnsi="Tahoma" w:eastAsia="Tahoma" w:cs="Tahoma"/>
          <w:color w:val="1B2232"/>
          <w:sz w:val="20"/>
          <w:szCs w:val="20"/>
          <w:b/>
          <w:bCs/>
        </w:rPr>
        <w:t xml:space="preserve">ATAQUES SON PORQUE LA OPOSICIÓN REPUNTA</w:t>
      </w:r>
    </w:p>
    <w:p>
      <w:pPr/>
      <w:r>
        <w:rPr/>
        <w:t xml:space="preserve">La candidata de la alianza opositora, Xóchitl Gálvez Ruiz, se reunió a puerta cerrada con los presidentes nacionales del PAN, Marko Cortés; PRD, Jesús Zambrano, y PRI, Alejandro Moreno, para definir la estrategia a seguir en lo que resta de la campaña y homologar el mensaje hacia los ciudadanos en todas las campañas de la coalición Fuerza y Corazón por México, privilegiando la imagen de la abanderada presidencial. En el encuentro, en el que también participaron virtualmente los 32 dirigentes estatales de esos partidos, así como los coordinadores de los Xochilovers en todo el país, se acordó redoblar esfuerzos para continuar el ascenso en las preferencias electorales. Gálvez Ruiz aseguró que los últimos ataques de Morena en su contra obedecen al repunte de su candidatura. Todo este ataque que hemos sufrido es porque Morena sabe la verdad. Nos estamos acercando, ustedes lo saben, el campo está abandonado, la gente del campo está enojada, no hay programas, afirmó Gálvez Ruiz. Agregó que su proyecto de gobierno reúne a los mejores hombres, mujeres y programas del PAN, PRD y PRI. Vamos aganar porque nosotros queremos a las personas. Los necesito, necesito a los priistas convenciendo, a los pianistas, necesito a los perredistas, a los Xochilovers. Todos vamos a sacar a este país, no podemos permitimos que estos autoritarios y corruptos sigan en el gobierno, nos estamos jugando el futuro de México, enfatizó. El presidente de Acción Nacional, Cortés Mendoza, pidió asumir una actitud patriótica piara convencer a más mexicanos de la necesidad de sacar a Morena de la Presidencia.</w:t>
      </w:r>
    </w:p>
    <w:p>
      <w:hyperlink r:id="rId8" w:history="1">
        <w:r>
          <w:rPr>
            <w:color w:val="000DFF"/>
            <w:u w:val="single"/>
          </w:rPr>
          <w:t xml:space="preserve">El Universal</w:t>
        </w:r>
      </w:hyperlink>
    </w:p>
    <w:p>
      <w:pPr/>
      <w:r>
        <w:rPr>
          <w:rFonts w:ascii="Tahoma" w:hAnsi="Tahoma" w:eastAsia="Tahoma" w:cs="Tahoma"/>
          <w:color w:val="1B2232"/>
          <w:sz w:val="20"/>
          <w:szCs w:val="20"/>
          <w:b/>
          <w:bCs/>
        </w:rPr>
        <w:t xml:space="preserve">PROMETE LEY PARA QUITAR DE CARGOS A MALOS GOBERNANTES</w:t>
      </w:r>
    </w:p>
    <w:p>
      <w:pPr/>
      <w:r>
        <w:rPr/>
        <w:t xml:space="preserve">Jorge Álvarez Máynez ofreció que, de alcanzar la Presidencia de México, empujará la Ley de Resultados Garantizados que previamente presentó en la Cámara de Diputados cuando era legislador piara que los políticos que no cumplan sus promesas de campaña sean destituidos. Al ser cuestionado por alumnos de la Universidad Autónoma de Sinaloa, campus Culiacán, sobre qué garantías de cumplimiento de propuestas puede ofrecer a quienes voten por su proyecto político, el candidato presidencial de MC planteó que pondrá al alcance de los ciudadanos mecanismos de participación ciudadana para la rendición de cuentas. Yo presenté una propuesta de ley que se llama resultados garantizados piara que la ciudadanía pueda dar seguimiento a las promesas de campaña y que, finalmente, si alguien no cumple, haya mecanismos piara que se le destituya porque cuando tú eres candidato piara lo que sea registras una plataforma, dices: Soy candidato para hacer esto en el municipio o piara hacer esto en el Senado, pero si no lo cumples, no pasa nada, explicó a su audiencia. Desde Culiacán, Sinaloa, criticó que figuras políticas de Morena se cuelguen de la imagen de Andrés Manuel López Obrador para vender sus plataformas y agradar a la gente, pero cuando llegan al poder, le fallan a la ciudadanía con el incumplimiento de sus promesas.</w:t>
      </w:r>
    </w:p>
    <w:p>
      <w:hyperlink r:id="rId8" w:history="1">
        <w:r>
          <w:rPr>
            <w:color w:val="000DFF"/>
            <w:u w:val="single"/>
          </w:rPr>
          <w:t xml:space="preserve">El Universal</w:t>
        </w:r>
      </w:hyperlink>
    </w:p>
    <w:p>
      <w:pPr/>
      <w:r>
        <w:rPr>
          <w:rFonts w:ascii="Tahoma" w:hAnsi="Tahoma" w:eastAsia="Tahoma" w:cs="Tahoma"/>
          <w:color w:val="1B2232"/>
          <w:sz w:val="20"/>
          <w:szCs w:val="20"/>
          <w:b/>
          <w:bCs/>
        </w:rPr>
        <w:t xml:space="preserve">AMLO A EPN: NO LO VOY A OLVIDAR, USTED NO ACEPTÓ HACER TRAMPAS </w:t>
      </w:r>
    </w:p>
    <w:p>
      <w:pPr/>
      <w:r>
        <w:rPr/>
        <w:t xml:space="preserve">El periodista Mario Maldonado, columnista de EL UNIVERSAL, retrata en su nuevo libro Confesiones desde el exilio: Enrique Peña Nieto (Planeta, 2024), el último encuentro entre el entonces presidente de México y el actual, Andrés Manuel López Obrador. La casa de López Obrador en Tlalpan fue testigo de aquella reunión entre el futuro presidente, su esposa Beatriz Gutiérrez Müller, y el presidente en turno, Peña Nieto. Peña Nieto niega rotundamente cualquier tipo de pacto con Morena: "No hubo tal, es un invento", me dijo en la primera entrevista que le hice en un restaurante de Punta Cana [República Dominicana], piara después enumerar y describir las únicas reuniones y comunicaciones que ha tenido con López Obrador desde que lo conoció, refiere Maldonado. "Fueron cuatro encuentros, me aseguró. La última reunión fue en su casa de Tlalpan. en la que estuvo también su esposa Beatriz Gutiérrez Müller, quien, además de ser la encargada de servir los platillos de una comida en la que no hubo empleados domésticos, les tomó una fotografía que después compartiría el mandatario entrante en sus redes sociales. Otras fotos se quedaron guardadas en el teléfono celular de Peña Nieto, quien conserva todavía las imágenes en su memoria de almacenamiento. El expresidente me compartió los pormenores de esa reunión: relató que fue la única vez que vio a Beatriz Gutiérrez y que incluso la conoció en aquel momento: "Por cierto, me cayó muy bien, nada más estábamos los tres", precisó. </w:t>
      </w:r>
    </w:p>
    <w:p>
      <w:hyperlink r:id="rId10" w:history="1">
        <w:r>
          <w:rPr>
            <w:color w:val="000DFF"/>
            <w:u w:val="single"/>
          </w:rPr>
          <w:t xml:space="preserve">El Universal</w:t>
        </w:r>
      </w:hyperlink>
    </w:p>
    <w:p>
      <w:pPr/>
      <w:r>
        <w:rPr>
          <w:rFonts w:ascii="Tahoma" w:hAnsi="Tahoma" w:eastAsia="Tahoma" w:cs="Tahoma"/>
          <w:color w:val="1B2232"/>
          <w:sz w:val="20"/>
          <w:szCs w:val="20"/>
          <w:b/>
          <w:bCs/>
        </w:rPr>
        <w:t xml:space="preserve">LA CANCILLER ALICIA BÁRCENA RECORRE EL PUENTE PASO DEL NORTE, EN EL PASO, TEXAS </w:t>
      </w:r>
    </w:p>
    <w:p>
      <w:pPr/>
      <w:r>
        <w:rPr/>
        <w:t xml:space="preserve">La titular de la Secretaría de Relaciones Exteriores (SRE), Alicia Bárcena realizó un recorrido por puntos clave de la frontera común entre México y Estados Unidos, en la zona de El Paso, Texas. Acompañada por personal de la Patrulla Fronteriza de Estados Unidos, la canciller visitó las puertas principales donde ocurren los cruces migratorios, como la número 36. En el lugar tuvo oportunidad de intercambiar puntos de vista respecto de los desafíos y los riesgos que enfrentan todos los días cientos de personas. "Nuestra frontera compartida también es un espacio dinámico para la prosperidad de ambas naciones y un motor económico vital: más de 1 millón de cruces diarios y 1.5 millones de dólares por minuto entre México y Estados Unidos, con aproximadamente 5 millones de empleos generados en la economía estadounidense. Con autoridades estadounidenses, la canciller Alicia Bárcena destacó los puntos más relevantes sobre la defensa de la comunidad mexicana en Texas ante la ley #SB4, el Modelo Mexicano de Movilidad Humana y la importancia de abordar, de manera compartida, las causas estructurales de la migración en la región</w:t>
      </w:r>
    </w:p>
    <w:p>
      <w:hyperlink r:id="rId11" w:history="1">
        <w:r>
          <w:rPr>
            <w:color w:val="000DFF"/>
            <w:u w:val="single"/>
          </w:rPr>
          <w:t xml:space="preserve">La Crónica</w:t>
        </w:r>
      </w:hyperlink>
    </w:p>
    <w:p>
      <w:pPr>
        <w:jc w:val="center"/>
        <w:spacing w:after="100"/>
      </w:pPr>
      <w:r>
        <w:rPr>
          <w:rFonts w:ascii="Tahoma" w:hAnsi="Tahoma" w:eastAsia="Tahoma" w:cs="Tahoma"/>
          <w:color w:val="1B2232"/>
          <w:sz w:val="28"/>
          <w:szCs w:val="28"/>
          <w:b/>
          <w:bCs/>
        </w:rPr>
        <w:t xml:space="preserve">CRÓNICA LEGISLATIVA Y JURIDICA</w:t>
      </w:r>
    </w:p>
    <w:p>
      <w:pPr/>
      <w:r>
        <w:rPr>
          <w:rFonts w:ascii="Tahoma" w:hAnsi="Tahoma" w:eastAsia="Tahoma" w:cs="Tahoma"/>
          <w:color w:val="1B2232"/>
          <w:sz w:val="20"/>
          <w:szCs w:val="20"/>
          <w:b/>
          <w:bCs/>
        </w:rPr>
        <w:t xml:space="preserve">RATIFICAN DICTAMEN DEL FONDO DE PENSIONES</w:t>
      </w:r>
    </w:p>
    <w:p>
      <w:pPr/>
      <w:r>
        <w:rPr/>
        <w:t xml:space="preserve">La Comisión de Seguridad Social de la Cámara de Diputados discutió y ratificó el dictamen para crear el Fondo de pensiones para el Bienestar, el cual se financiará con cuentas inactivas de las Administradoras de fondos para el retiro (Afores). Con 17 votos a favor. 10 en contra y cero abstenciones, el proyecto de dictamen será una vez más turnado al Pleno de San Lázaro para su discusión el próximo lunes, y de aprobarse, pasará al Senado de la República. El miércoles, la mesa directiva de la Cámara de Diputados suspendió la discusión en el Pleno para aprobar la reforma en materia de pensiones, debido a que el dictamen final presentaba discrepancias con el documento votado por dicha Comisión el lunes pasado. La diputada morenista y presidenta de la Comisión de Seguridad Social, Angélica Cisneros señaló que a raíz de este hecho se realizarán investigaciones para identificar y sancionar a los responsables de que la reforma llegó al Pleno de manera incorrecta. "El dictamen ya fue aprobado, no estamos discutiendo a favor o en contra, eso ya se votó en la anterior reunión", dijo Cisneros. Diputados del Partido Acción Nacional (PAN) calificaron como un error grave que el dictamen presentado al Pleno fuera distinto al aprobado previamente por la Comisión y aseguraron que pone en duda todo el proceso legislativo, "Es una burla para toda la Cámara de Diputados que al mandar el dictamen no tenga nada que ver uno con el otro. Urge saber quién dice la verdad, porque pone en tela de juicio cualquier decisión", dijo el panista.</w:t>
      </w:r>
    </w:p>
    <w:p>
      <w:hyperlink r:id="rId12" w:history="1">
        <w:r>
          <w:rPr>
            <w:color w:val="000DFF"/>
            <w:u w:val="single"/>
          </w:rPr>
          <w:t xml:space="preserve">El Sol de México</w:t>
        </w:r>
      </w:hyperlink>
    </w:p>
    <w:p>
      <w:hyperlink r:id="rId13" w:history="1">
        <w:r>
          <w:rPr>
            <w:color w:val="000DFF"/>
            <w:u w:val="single"/>
          </w:rPr>
          <w:t xml:space="preserve">La Prensa</w:t>
        </w:r>
      </w:hyperlink>
    </w:p>
    <w:p>
      <w:hyperlink r:id="rId14" w:history="1">
        <w:r>
          <w:rPr>
            <w:color w:val="000DFF"/>
            <w:u w:val="single"/>
          </w:rPr>
          <w:t xml:space="preserve">Reporte Índigo</w:t>
        </w:r>
      </w:hyperlink>
    </w:p>
    <w:p>
      <w:pPr/>
      <w:r>
        <w:rPr>
          <w:rFonts w:ascii="Tahoma" w:hAnsi="Tahoma" w:eastAsia="Tahoma" w:cs="Tahoma"/>
          <w:color w:val="1B2232"/>
          <w:sz w:val="20"/>
          <w:szCs w:val="20"/>
          <w:b/>
          <w:bCs/>
        </w:rPr>
        <w:t xml:space="preserve">OPOSICIÓN EN EL SENADO VA POR REVÉS A REFORMA A LEY DE AMNISTÍA </w:t>
      </w:r>
    </w:p>
    <w:p>
      <w:pPr/>
      <w:r>
        <w:rPr/>
        <w:t xml:space="preserve">El bloque de contención en el Senado alista una acción de inconstitucionalidad en contra de las reformas a la Ley de Amparo y a la Ley de Amnistía. Senadores del PRI, PAN, PRD, Grupo Plural e incluso Movimiento Ciudadano se reunieron después de la aprobación de las reformas de Morena y acordaron iniciar la redacción de dicha iniciativa, pero también contra la Ley de Amnistía. El coordinador del PRD, Miguel Ángel Mancera, dijo a EL UNIVERSAL que ya dialogó con los coordinadores del bloque de contención para iniciar la ruta jurídica y presentar ?una vez que ambas reformas sean ratificadas en San Lázaro? las acciones de inconstitucionalidad ante la Suprema Corte de Justicia de la Nación (SCJN). "México se encuentra ante uno de los escenarios más graves en su sistema de protección de derechos de los ciudadanos y debemos combatir esta reforma, que es un muy fuerte golpe al amparo y a todo el ordenamiento legal de protección de los ciudadanos", argumentó. Mencionó que en el mismo sentido se buscará presentar las acciones necesarias ante la Corte para frenar las reformas a la Ley de Amnistía.</w:t>
      </w:r>
    </w:p>
    <w:p>
      <w:hyperlink r:id="rId15" w:history="1">
        <w:r>
          <w:rPr>
            <w:color w:val="000DFF"/>
            <w:u w:val="single"/>
          </w:rPr>
          <w:t xml:space="preserve">El Universal</w:t>
        </w:r>
      </w:hyperlink>
    </w:p>
    <w:p>
      <w:pPr/>
      <w:r>
        <w:rPr>
          <w:rFonts w:ascii="Tahoma" w:hAnsi="Tahoma" w:eastAsia="Tahoma" w:cs="Tahoma"/>
          <w:color w:val="1B2232"/>
          <w:sz w:val="20"/>
          <w:szCs w:val="20"/>
          <w:b/>
          <w:bCs/>
        </w:rPr>
        <w:t xml:space="preserve">PIDEN 12 MIL PAISANOS AL INE ACLARAR SU EXCLUSIÓN</w:t>
      </w:r>
    </w:p>
    <w:p>
      <w:pPr/>
      <w:r>
        <w:rPr/>
        <w:t xml:space="preserve">Tras la exclusión de más de 39 mil personas de la Lista Nominal en el extranjero por irregularidades, 12 mil personas se han comunicado con el INE para pedir una aclaración y poder votar el próximo 2 de junio. El consejero Arturo Castillo detalló que esta es la cifra al corte del jueves 18 de abril, y que ato das las personas se les dará una atención personalizada. Si alguna persona se le pasa este tiempo por alguna razón, no puede hacer la aclaración de su registro, también podrá votar en las sedes consulares, en las casillas especiales, expuso El INE detectó 39 mil 724 improcedencias, de las cuales 18 mil203son inconsistencias en la firma; 861 inconsistencias en comprobantes de domicilio; 12 mil 574 solicitudes que no cumplieron con los requisitos para considerarse válidas y 8 mil 86 registros con una combinación de las anteriores. La presidenta del INE, Guadalupe Taddei, recordó que este proceso también se realizó en 2018, cuando tuvieron un nivel de procedencia de 667% de los registros de 1a Lista Nominal, y que en 2024 la cifra es de 82S%.</w:t>
      </w:r>
    </w:p>
    <w:p>
      <w:hyperlink r:id="rId16" w:history="1">
        <w:r>
          <w:rPr>
            <w:color w:val="000DFF"/>
            <w:u w:val="single"/>
          </w:rPr>
          <w:t xml:space="preserve">El Universal</w:t>
        </w:r>
      </w:hyperlink>
    </w:p>
    <w:p>
      <w:pPr/>
      <w:r>
        <w:rPr>
          <w:rFonts w:ascii="Tahoma" w:hAnsi="Tahoma" w:eastAsia="Tahoma" w:cs="Tahoma"/>
          <w:color w:val="1B2232"/>
          <w:sz w:val="20"/>
          <w:szCs w:val="20"/>
          <w:b/>
          <w:bCs/>
        </w:rPr>
        <w:t xml:space="preserve">GASTAN MORENA Y ALIADOS MAS DE 557 MDP EN CAMPAÑAS AL CONGRESO</w:t>
      </w:r>
    </w:p>
    <w:p>
      <w:pPr/>
      <w:r>
        <w:rPr/>
        <w:t xml:space="preserve">Los partidos políticos han gastado 897 millones de pesos en el primer mes y medio de campaña, en la búsqueda por obtener la mayoría en la Cámara de Diputados y Senado en la próxima Legislatura, siendo el bloque de la autollamada Cuarta Transformación el que concentra el 62% de los recursos. La coalición Sigamos Haciendo Historia integrada por Morena, los partidos Del Trabajo y Verde ha destinado557millones457mil 58 pesos para promover a sus perfiles al Congreso, tanto en las candidaturas conjuntas como las que postularon de forma individual. Los candidatos de Morena y aliados también encabezan las listas de gastos en campañas. En el Senado, por ejemplo, en los 10 primeros lugares figuran el exsecretario de Seguridad, Ornar García Harfuch; la exfiscal capitalina, Ernestina Godoy Ramos; la diputada Claudia Tello Espinosa y el senador Higinio Martínez Miranda Por separado, la coalición Fuerza y Corazón por México (PAN, PRI, PRD) ha gastado 249 millones 698 mil 315 pesos en la campaña al Congreso, menos de la mitad que el bloque de la Cuarta Transformación. En último lugar figura Movimiento Ciudadano, que ha destinado 88 millones 713 mil 258 pesos. Al corte del 15 de abril, los candidatos al Senado han gastado 547 millones 766 mil pesos; mientras que para Diputados, la cifra asciende a 349 millones 919 mil pasos. Tan sólo en propaganda en general, los candidatos han gastado 374 millones 260 mil 898 pesos, así como 65 millones 663 mil en promoción en redes sociales.</w:t>
      </w:r>
    </w:p>
    <w:p>
      <w:hyperlink r:id="rId17" w:history="1">
        <w:r>
          <w:rPr>
            <w:color w:val="000DFF"/>
            <w:u w:val="single"/>
          </w:rPr>
          <w:t xml:space="preserve">El Universal</w:t>
        </w:r>
      </w:hyperlink>
    </w:p>
    <w:p>
      <w:pPr/>
      <w:r>
        <w:rPr>
          <w:rFonts w:ascii="Tahoma" w:hAnsi="Tahoma" w:eastAsia="Tahoma" w:cs="Tahoma"/>
          <w:color w:val="1B2232"/>
          <w:sz w:val="20"/>
          <w:szCs w:val="20"/>
          <w:b/>
          <w:bCs/>
        </w:rPr>
        <w:t xml:space="preserve">CHOCAN EN INE ENTRE GRITOS DE ¡PORRO! Y SENADOR PIRATA</w:t>
      </w:r>
    </w:p>
    <w:p>
      <w:pPr/>
      <w:r>
        <w:rPr/>
        <w:t xml:space="preserve">Los partidos han llevado nuevamente la polarización de los comicios a la mesa del Consejo General del Instituto Nacional Electoral (INE), calificándose entre sus representantes como "porro, farsante y mercenario. La discusión sobre los aspectos técnicos de los conteos rápidos para la jomada electoral se diluyó entre los señalamientos de los representantes. El primer golpe lo lanzó el diputado del PT Gerardo Fernández Noroña, quien criticó a su contraparte del PRD, Emilio Álvarez Icaza, al llamarlo senador pirata. El legislador respondió llamándolo porro, lo que detonó un vaivén de gritos en el salón de sesiones del instituto. "Yo conozco y sé la conducta de porros que tienen los representantes de la narcocoalición que hoy gobierna, nos vamos a referir en esos términos mientras se refieran en esos términos, piara que lo tengas claro, acusó. Un reventador. Porro, porro, porro, repitió Álvarez Icaza alzando la voz. La escena fue interrumpida por la consejera Norma de la Cruz, en fundones de presidenta; ¡Orden en la sala!, exigió, e hizo que los presentes se giraran hacia ella. Fernández Noroña se levantó de su lugar y señalando al senador perredista, dijo: ¡No te voy a tolerar tus majaderías!, mientras la consejería intentaba poner orden. Diputados, senadores, están ustedes en la herradura de la democracia, ¿este es el nivel del debate que le quieren dar a la ciudadanía, reclamó el diputado Atrás de ella estaba la presidenta del Instituto Nacional Electoral, Guadalupe Taddei, quien se reincorporó a la sesión, pero no intervino en ese momento.</w:t>
      </w:r>
    </w:p>
    <w:p>
      <w:hyperlink r:id="rId17" w:history="1">
        <w:r>
          <w:rPr>
            <w:color w:val="000DFF"/>
            <w:u w:val="single"/>
          </w:rPr>
          <w:t xml:space="preserve">El Universal</w:t>
        </w:r>
      </w:hyperlink>
    </w:p>
    <w:p>
      <w:pPr/>
      <w:r>
        <w:rPr>
          <w:rFonts w:ascii="Tahoma" w:hAnsi="Tahoma" w:eastAsia="Tahoma" w:cs="Tahoma"/>
          <w:color w:val="1B2232"/>
          <w:sz w:val="20"/>
          <w:szCs w:val="20"/>
          <w:b/>
          <w:bCs/>
        </w:rPr>
        <w:t xml:space="preserve">ATIZA SEGOB RECLAMO POR PRISIÓN PREVENTIVA </w:t>
      </w:r>
    </w:p>
    <w:p>
      <w:pPr/>
      <w:r>
        <w:rPr/>
        <w:t xml:space="preserve">La Secretaria de Gobernación, Luisa María Alcalde, aseguró que los estados y las fiscalías locales han expresado su preocupación ante el riesgo de se pueda registrar la liberación de miles de presuntos delincuentes, en caso de que la Suprema Corte de Justicia decida echar por tierra la prisión preventiva oficiosa. "No es un asunto exclusivamente del Gabinete de Seguridad, una preocupación del Gobierno de México, los Gobernadores se han pronunciado ya al respecto, los secretarios de Seguridad, los fiscales de las entidades federativas, todos, con la misma preocupación", dijo. "La preocupación deriva de que, dado la tardanza en los procesos, el listado es amplio de personas que tienen prisión preventiva oficiosa. Como ya lo dijimos aquí, estamos hablando de cerca de 68 mil personas que, de cambiar este criterio de nulificarse el artículo, van a pedir de inmediato el cambio de medida cautelar" El pasado martes, el Gobierno federal advirtió que, si la Corte elimina la prisión preventiva oficiosa existe el riesgo de que puedan salir de la cárcel casi 68 mil presuntos delincuentes.</w:t>
      </w:r>
    </w:p>
    <w:p>
      <w:hyperlink r:id="rId18"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ECONOMÍA</w:t>
      </w:r>
    </w:p>
    <w:p>
      <w:pPr/>
      <w:r>
        <w:rPr>
          <w:rFonts w:ascii="Tahoma" w:hAnsi="Tahoma" w:eastAsia="Tahoma" w:cs="Tahoma"/>
          <w:color w:val="1B2232"/>
          <w:sz w:val="20"/>
          <w:szCs w:val="20"/>
          <w:b/>
          <w:bCs/>
        </w:rPr>
        <w:t xml:space="preserve">SIGUIENTE GOBIERNO TENDRÁ MARGEN FISCAL, AFIRMA SHCP</w:t>
      </w:r>
    </w:p>
    <w:p>
      <w:pPr/>
      <w:r>
        <w:rPr/>
        <w:t xml:space="preserve">El próximo gobierno tendrá espacio fiscal para poder reducir el saldo negativo en las finanzas públicas sin ningún problema, pues este sexenio cerrará con datos muy favorecedores, aseguró el subsecretario de Hacienda y Crédito Público, Gabriel Yorio González. En entrevista con EL UNIVERSAL, dijo que eso será posible debido a que todas las obras de infraestructura están casi concluidas, salvo algunas periféricas. "Todas las obras están ya terminadas y eso va a generar espacio fiscal de inversión o de gasto de infraestructura para la siguiente administración", manifestó en respuesta a quienes afirman que dichas obras seguirán significando un costo por mantenimiento y servicios. En la 87 Convención Bancaria, afirmó que han trabajado todos estos años para dejar las cosas en orden, pero sobre todo en reducir la deuda pública, refinanciando en los mercados globales. "Vamos a cerrar bastante bien, la economía está fuerte, estamos creciendo. La inflación está bajando, las tasas de interés ya están descendiendo, y tenemos niveles de desempleo mínimos", ponderó.</w:t>
      </w:r>
    </w:p>
    <w:p>
      <w:hyperlink r:id="rId19" w:history="1">
        <w:r>
          <w:rPr>
            <w:color w:val="000DFF"/>
            <w:u w:val="single"/>
          </w:rPr>
          <w:t xml:space="preserve">El Universal</w:t>
        </w:r>
      </w:hyperlink>
    </w:p>
    <w:p>
      <w:hyperlink r:id="rId20" w:history="1">
        <w:r>
          <w:rPr>
            <w:color w:val="000DFF"/>
            <w:u w:val="single"/>
          </w:rPr>
          <w:t xml:space="preserve">Reforma</w:t>
        </w:r>
      </w:hyperlink>
    </w:p>
    <w:p>
      <w:pPr/>
      <w:r>
        <w:rPr>
          <w:rFonts w:ascii="Tahoma" w:hAnsi="Tahoma" w:eastAsia="Tahoma" w:cs="Tahoma"/>
          <w:color w:val="1B2232"/>
          <w:sz w:val="20"/>
          <w:szCs w:val="20"/>
          <w:b/>
          <w:bCs/>
        </w:rPr>
        <w:t xml:space="preserve">FONDO DE PENSIONES DEBE ANALIZARSE CON CUIDADO, DICE ABM</w:t>
      </w:r>
    </w:p>
    <w:p>
      <w:pPr/>
      <w:r>
        <w:rPr/>
        <w:t xml:space="preserve">La propuesta para crear el Fondo de Pensiones para el Bienestar a partir de recursos de cuentas inactivas de ahorro para el retiro de adultos mayores debe evaluarse con cuidado, afirmó ayer el presidente de la Asociación de Bancos de México (ABM), Julio Carranza. "El tema está en discusión y en las aprobaciones, es un tema propio de la banca. Sin embargo, lo que nosotros hemos dicho es que es un tema que se tiene que evaluar con todo cuidado y con todo detalle", afirmó en conferencia de prensa en la jomada inaugural de la 87 Convención Bancaria. Sobre el tema, hasta el momento dos de las principales Administradoras de Fondos para el Retiro (Afore), XXI Banorte y CitiBanamex han expresado que tienen sal - dos pequeños de ese tipo de cuentas, con lo que la reforma no tiene mayor impacto en el negocio. El director general de CitiBanamex, Manuel Romo, dijo que en la Afore del grupo se tienen contabilizadas 670 mil cuentas inactivas de adultos mayores, con saldo total de 3 mil 900 millones de pesos.</w:t>
      </w:r>
    </w:p>
    <w:p>
      <w:hyperlink r:id="rId19" w:history="1">
        <w:r>
          <w:rPr>
            <w:color w:val="000DFF"/>
            <w:u w:val="single"/>
          </w:rPr>
          <w:t xml:space="preserve">El Universal</w:t>
        </w:r>
      </w:hyperlink>
    </w:p>
    <w:p>
      <w:hyperlink r:id="rId21" w:history="1">
        <w:r>
          <w:rPr>
            <w:color w:val="000DFF"/>
            <w:u w:val="single"/>
          </w:rPr>
          <w:t xml:space="preserve">Reforma</w:t>
        </w:r>
      </w:hyperlink>
    </w:p>
    <w:p>
      <w:hyperlink r:id="rId22" w:history="1">
        <w:r>
          <w:rPr>
            <w:color w:val="000DFF"/>
            <w:u w:val="single"/>
          </w:rPr>
          <w:t xml:space="preserve">Excélsior</w:t>
        </w:r>
      </w:hyperlink>
    </w:p>
    <w:p>
      <w:hyperlink r:id="rId23" w:history="1">
        <w:r>
          <w:rPr>
            <w:color w:val="000DFF"/>
            <w:u w:val="single"/>
          </w:rPr>
          <w:t xml:space="preserve">Publimetro</w:t>
        </w:r>
      </w:hyperlink>
    </w:p>
    <w:p>
      <w:pPr/>
      <w:r>
        <w:rPr>
          <w:rFonts w:ascii="Tahoma" w:hAnsi="Tahoma" w:eastAsia="Tahoma" w:cs="Tahoma"/>
          <w:color w:val="1B2232"/>
          <w:sz w:val="20"/>
          <w:szCs w:val="20"/>
          <w:b/>
          <w:bCs/>
        </w:rPr>
        <w:t xml:space="preserve">GOBIERNO EXPROPIA PLANTA DE HIDRÓGENO DE AIR LIQUIDE</w:t>
      </w:r>
    </w:p>
    <w:p>
      <w:pPr/>
      <w:r>
        <w:rPr/>
        <w:t xml:space="preserve">El gobierno federal llevó a cabo una acción más que incómoda a la iniciativa privada, al decretar la expropiación de la planta de hidrógeno de la francesa Air Liquide. En el Diario Oficial de la Federación (DOF) se publicó el "decreto por el que se expropia por causa de utilidad pública la planta productora de hidrógeno U-3400, ubicada en la fracción de terreno de 6 mil 451.78 metros cuadrados, en el interior de la refinería Miguel Hidalgo, Tula de Allende, estado de Hidalgo, a favor de Pemex Transformación Industrial". En mayo del año pasado, el gobierno también expropió parte del tramo concesionado a Ferrosur, en favor de la Marina y el Proyecto del Corredor Interoceánico del Istmo de Tehuantepec. Esta vez el gobierno federal apunta a que la producción de hidrógeno U-3400 es utilizada en las plantas hidrodesulfuradoras de gasolinas, intermedios, diesel y de gasóleos, cuya demanda cada día es mayor, ya que, en razón del cuidado del medio ambiente, debe reducirse el contenido de azufre en los productos petrolíferos, debido a que, al estar presente en los combustibles, genera óxidos contaminantes.</w:t>
      </w:r>
    </w:p>
    <w:p>
      <w:hyperlink r:id="rId24" w:history="1">
        <w:r>
          <w:rPr>
            <w:color w:val="000DFF"/>
            <w:u w:val="single"/>
          </w:rPr>
          <w:t xml:space="preserve">El Universal</w:t>
        </w:r>
      </w:hyperlink>
    </w:p>
    <w:p>
      <w:hyperlink r:id="rId25" w:history="1">
        <w:r>
          <w:rPr>
            <w:color w:val="000DFF"/>
            <w:u w:val="single"/>
          </w:rPr>
          <w:t xml:space="preserve">Excélsior</w:t>
        </w:r>
      </w:hyperlink>
    </w:p>
    <w:p>
      <w:pPr/>
      <w:r>
        <w:rPr>
          <w:rFonts w:ascii="Tahoma" w:hAnsi="Tahoma" w:eastAsia="Tahoma" w:cs="Tahoma"/>
          <w:color w:val="1B2232"/>
          <w:sz w:val="20"/>
          <w:szCs w:val="20"/>
          <w:b/>
          <w:bCs/>
        </w:rPr>
        <w:t xml:space="preserve">SE VAN ALIMENTOS HASTA LAS NUBES</w:t>
      </w:r>
    </w:p>
    <w:p>
      <w:pPr/>
      <w:r>
        <w:rPr/>
        <w:t xml:space="preserve">En lo que va del sexenio, comer arroz, frijoles y huevo se encareció 47.5 por ciento, de acuerdo con un análisis de Grupo Consultor de Mercados Agrícolas (GCMA). Durante diciembre de 2018, comprar un kilo de cada uno de los productos mencionados sumaba 82 pesos. En marzo de 2024, el precio de los tres alimentos subió a 121 pesos. Sin embargo, algunos de los 17 productos de la canasta básica reportaron una inflación acumulada de hasta casi 177 por ciento en el periodo mencionado. Destaca el incremento del precio del limón sin semilla, que pasó de 15.77 a 43.63 pesos el kilo, un incremento de 176.6 por ciento en lo que va del sexenio, señala el reporte de la consultora. De igual manera, sobresale el precio de la tortilla, que a inicios del Gobierno de Andrés Manuel López Obrador costaba alrededor de 14.36 pesos el kilo y ahora vale 23.88 pesos, un incremento de 66.3 por ciento. De igual manera, sólo los alimentos de la canasta básica derivados de granos acumularon un incremento en sus precios de 40.5 por ciento, con alzas en cada producto de hasta 10 por ciento anual, agrega el documento.</w:t>
      </w:r>
    </w:p>
    <w:p>
      <w:hyperlink r:id="rId21" w:history="1">
        <w:r>
          <w:rPr>
            <w:color w:val="000DFF"/>
            <w:u w:val="single"/>
          </w:rPr>
          <w:t xml:space="preserve">Reforma</w:t>
        </w:r>
      </w:hyperlink>
    </w:p>
    <w:p>
      <w:pPr/>
      <w:r>
        <w:rPr>
          <w:rFonts w:ascii="Tahoma" w:hAnsi="Tahoma" w:eastAsia="Tahoma" w:cs="Tahoma"/>
          <w:color w:val="1B2232"/>
          <w:sz w:val="20"/>
          <w:szCs w:val="20"/>
          <w:b/>
          <w:bCs/>
        </w:rPr>
        <w:t xml:space="preserve">AUMENTAN LAS PARTICIPACIONES A ENTIDADES 15.4%</w:t>
      </w:r>
    </w:p>
    <w:p>
      <w:pPr/>
      <w:r>
        <w:rPr/>
        <w:t xml:space="preserve">Las participaciones federales que reciben las entidades del País sumaron en el primer bimestre del año 260 mil 956 millones de pesos, un incremento anual de 15.4 por ciento. Además, superó los 233 mil 161 millones de pesos que la Secretaría de Hacienda había estimado por este concepto en el mismo lapso. Las participaciones federales (Ramo 28) son recursos que cada entidad puede usar libremente para lo que considere necesario, debido a que no están etiquetados. El aumento de los recursos destinados a estados se deben a un incremento de 12.6 por ciento de la recaudación federal participable con respecto al mismo periodo del año pasado, de acuerdo con las cifras de Hacienda. Desglosando el concepto, se tiene que en el periodo mencionado la recaudación del Impuesto al Valor Agregado (IVA) reportó un incremento de 21.9 por ciento en relación con los primeros dos meses del año pasado, al acumular 292 mil 914 millones de pesos, señalan datos de la dependencia federal.</w:t>
      </w:r>
    </w:p>
    <w:p>
      <w:hyperlink r:id="rId26"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SEGURIDAD</w:t>
      </w:r>
    </w:p>
    <w:p>
      <w:pPr/>
      <w:r>
        <w:rPr>
          <w:rFonts w:ascii="Tahoma" w:hAnsi="Tahoma" w:eastAsia="Tahoma" w:cs="Tahoma"/>
          <w:color w:val="1B2232"/>
          <w:sz w:val="20"/>
          <w:szCs w:val="20"/>
          <w:b/>
          <w:bCs/>
        </w:rPr>
        <w:t xml:space="preserve">EN CIUDADES DONDE VIVEN, MEXICANOS SIENTEN INSEGURIDAD</w:t>
      </w:r>
    </w:p>
    <w:p>
      <w:pPr/>
      <w:r>
        <w:rPr/>
        <w:t xml:space="preserve">En marzo pasado, 61% de la población de 18 años y más residente en las principales localidades del país, dijo que es inseguro vivir en su ciudad, de acuerdo con los resultados de la Encuesta Nacional de Seguridad Pública Urbana, dados a conocer por el Inegi. Lo anterior representa un aumento de 591% reportado en diciembre de 2023, pero menor al 62.1% de marzo del año pasado. En 18 ciudades y demarcaciones se registraron cambios significativos frente al cierre de 2023: cuatro bajaron y 14 aumentaron. Por género, la percepción de inseguridad fue mayor entre las mujeres con una tasa de 665%, contra 545% de los hombres. Las regiones con mayor porcentaje de personas adultas que consideró inseguro vivir en su zona fueron: Fresnillo, con 95.4%; Naucalpan, 89.6%; Zacatecas, 895%; Chilpancingo, 875%; Cuernavaca, 87.0%, y Ciudad Obregón, 86.6%. En contraste, las localidades donde la percepción de inseguridad resultó menor son: la alcaldía Benito Juárez, con 111%; Piedras Negras, 19.0%; la alcaldía Cuajimalpa, 225%; Mérida, 252%; Tampico, 23.6% y Los Cabos, 24.8%.</w:t>
      </w:r>
    </w:p>
    <w:p>
      <w:hyperlink r:id="rId27" w:history="1">
        <w:r>
          <w:rPr>
            <w:color w:val="000DFF"/>
            <w:u w:val="single"/>
          </w:rPr>
          <w:t xml:space="preserve">El Universal</w:t>
        </w:r>
      </w:hyperlink>
    </w:p>
    <w:p>
      <w:hyperlink r:id="rId18" w:history="1">
        <w:r>
          <w:rPr>
            <w:color w:val="000DFF"/>
            <w:u w:val="single"/>
          </w:rPr>
          <w:t xml:space="preserve">Reforma</w:t>
        </w:r>
      </w:hyperlink>
    </w:p>
    <w:p>
      <w:hyperlink r:id="rId28" w:history="1">
        <w:r>
          <w:rPr>
            <w:color w:val="000DFF"/>
            <w:u w:val="single"/>
          </w:rPr>
          <w:t xml:space="preserve">Excélsior</w:t>
        </w:r>
      </w:hyperlink>
    </w:p>
    <w:p>
      <w:pPr/>
      <w:r>
        <w:rPr>
          <w:rFonts w:ascii="Tahoma" w:hAnsi="Tahoma" w:eastAsia="Tahoma" w:cs="Tahoma"/>
          <w:color w:val="1B2232"/>
          <w:sz w:val="20"/>
          <w:szCs w:val="20"/>
          <w:b/>
          <w:bCs/>
        </w:rPr>
        <w:t xml:space="preserve">DECAPITAN A ESCOLTA DE CANDIDATO A DIPUTADO</w:t>
      </w:r>
    </w:p>
    <w:p>
      <w:pPr/>
      <w:r>
        <w:rPr/>
        <w:t xml:space="preserve">Un escolta del candidato del PRI-PRD-PAN a diputado local, Tomás Hernández Palma, fue asesinado a balazos y hallado decapitado en la colonia Santa Cruz, de San Marcos, en la Costa Chica de Guerrero, la mañana de este jueves. De acuerdo con el reporte policiaco, alrededor de las 6 de la mañana de este jueves fue hallado tirado el cadáver del escolta del alcalde con licencia. Junto al cadáver se encontraba la cabeza del hombre y un mensaje. El escolta file identificado con el nombre de Eduardo, de 35 años de edad. Según el reporte, el cadáver fue arrojado desde un carro en movimiento, además de que tenía la marca de varios impactos. El alcalde de San Marcos solicitó licencia para competir por una diputación local Hernández Palma ha sido alcalde de San Marcos desde 2018. Hasta la noche del jueves, el candidato no se había pronunciado al respecto.</w:t>
      </w:r>
    </w:p>
    <w:p>
      <w:hyperlink r:id="rId29" w:history="1">
        <w:r>
          <w:rPr>
            <w:color w:val="000DFF"/>
            <w:u w:val="single"/>
          </w:rPr>
          <w:t xml:space="preserve">El Universal</w:t>
        </w:r>
      </w:hyperlink>
    </w:p>
    <w:p>
      <w:pPr/>
      <w:r>
        <w:rPr>
          <w:rFonts w:ascii="Tahoma" w:hAnsi="Tahoma" w:eastAsia="Tahoma" w:cs="Tahoma"/>
          <w:color w:val="1B2232"/>
          <w:sz w:val="20"/>
          <w:szCs w:val="20"/>
          <w:b/>
          <w:bCs/>
        </w:rPr>
        <w:t xml:space="preserve">AUMENTA EL NÚMERO DE DESAPARECIDOS EN FRESNILLO</w:t>
      </w:r>
    </w:p>
    <w:p>
      <w:pPr/>
      <w:r>
        <w:rPr/>
        <w:t xml:space="preserve">En lo que va de este año, Fresnillo se ha colocado como el municipio de Zacatecas con mayor número de personas desaparecidas o no localizadas, situación que se ha reflejado con la movilización de familiares de las víctimas que han levantado la voz para exigir que se realicen las búsquedas inmediatas para evitar que sus seres queridos se conviertan sólo en cifras. En marzo se incrementó el número de fichas de búsqueda emitidas por la Fiscalía General de Justicia de Zacatecas ya que se contabilizaron, al menos, 33 personas desaparecidas, no localizadas o privadas de la libertad en Fresnillo. De este total, cinco fichas fueron actualizadas con el sello de "localizadas", entre ellas las de un maestro de telesecundaria y tres de sus familiares privados de la libertad el 18 de marzo, que ante las manifestaciones y bloqueos que realizaron maestros y familiares, horas después fueron liberados. De acuerdo con cifras del Registro Nacional de Personas Desaparecidas y No Localizadas de la Comisión Nacional de Búsqueda (CNB) en el estado de Zacatecas, del 1 de enero al 17 de abril, suman 231 personas desaparecidas o no localizadas. Fresnillo registra 69 casos en este mismo lapso.</w:t>
      </w:r>
    </w:p>
    <w:p>
      <w:hyperlink r:id="rId30" w:history="1">
        <w:r>
          <w:rPr>
            <w:color w:val="000DFF"/>
            <w:u w:val="single"/>
          </w:rPr>
          <w:t xml:space="preserve">El Universal</w:t>
        </w:r>
      </w:hyperlink>
    </w:p>
    <w:p>
      <w:pPr/>
      <w:r>
        <w:rPr>
          <w:rFonts w:ascii="Tahoma" w:hAnsi="Tahoma" w:eastAsia="Tahoma" w:cs="Tahoma"/>
          <w:color w:val="1B2232"/>
          <w:sz w:val="20"/>
          <w:szCs w:val="20"/>
          <w:b/>
          <w:bCs/>
        </w:rPr>
        <w:t xml:space="preserve">LA VIUDA E HIJAS DE EL OJOS, ENTRE LOS MÁS BUSCADOS</w:t>
      </w:r>
    </w:p>
    <w:p>
      <w:pPr/>
      <w:r>
        <w:rPr/>
        <w:t xml:space="preserve">El Gobierno de la Ciudad de México actualizó su programa de recompensas para incluir en la lista de personas generadoras de violencia más buscadas por la Fiscalía General de Justicia (FGJ) de la Ciudad de México a la viuda y dos hijas del extinto líder y fundador del Cártel de Tláhuac, Felipe de Jesús Pérez Luna, alias El Ojos. A partir de acuerdos publicados ayer en la Gaceta Oficial, María de los Ángeles Ramírez Arvizu, viuda de El Ojos ?abatido en 2017? y sus hijas Liliana Pérez Ramírez, Li o La Voz, y Samantha Pérez Ramírez, Sam, son los tres nuevos objetivos prioritarios de la FGJ, y por cada una de ellas se ofrece una recompensa de 500 mil pesos a quienes proporcionen información veraz y útil que ayude a su captura. María de los Ángeles Ramírez Arvizu no figuraba en la estructura delictiva del Cártel de Tláhuac, según un informe de la Policía de Investigación (PDI) realizado en 2019. El documento, del cual tiene copia EL UNIVERSAL, señala que la estructura familiar de este grupo estaba encabezada por El Ojos, seguido de sus hijos Miguel Ángel Pérez Ramírez, alias El Mk; Luis Felipe Pérez, El Felipillo, y Kevin Pérez Cortés, así como Diana Pérez, La Princesa de Tláhuac, todos ellos actualmente detenidos.</w:t>
      </w:r>
    </w:p>
    <w:p>
      <w:hyperlink r:id="rId31" w:history="1">
        <w:r>
          <w:rPr>
            <w:color w:val="000DFF"/>
            <w:u w:val="single"/>
          </w:rPr>
          <w:t xml:space="preserve">El Universal</w:t>
        </w:r>
      </w:hyperlink>
    </w:p>
    <w:p>
      <w:hyperlink r:id="rId32" w:history="1">
        <w:r>
          <w:rPr>
            <w:color w:val="000DFF"/>
            <w:u w:val="single"/>
          </w:rPr>
          <w:t xml:space="preserve">Reforma</w:t>
        </w:r>
      </w:hyperlink>
    </w:p>
    <w:p>
      <w:hyperlink r:id="rId33" w:history="1">
        <w:r>
          <w:rPr>
            <w:color w:val="000DFF"/>
            <w:u w:val="single"/>
          </w:rPr>
          <w:t xml:space="preserve">Excélsior</w:t>
        </w:r>
      </w:hyperlink>
    </w:p>
    <w:p>
      <w:hyperlink r:id="rId34" w:history="1">
        <w:r>
          <w:rPr>
            <w:color w:val="000DFF"/>
            <w:u w:val="single"/>
          </w:rPr>
          <w:t xml:space="preserve">Ovaciones</w:t>
        </w:r>
      </w:hyperlink>
    </w:p>
    <w:p>
      <w:pPr/>
      <w:r>
        <w:rPr>
          <w:rFonts w:ascii="Tahoma" w:hAnsi="Tahoma" w:eastAsia="Tahoma" w:cs="Tahoma"/>
          <w:color w:val="1B2232"/>
          <w:sz w:val="20"/>
          <w:szCs w:val="20"/>
          <w:b/>
          <w:bCs/>
        </w:rPr>
        <w:t xml:space="preserve">SE REDUCE PERCEPCIÓN DE INSEGURIDAD EN 4 ALCALDÍAS</w:t>
      </w:r>
    </w:p>
    <w:p>
      <w:pPr/>
      <w:r>
        <w:rPr/>
        <w:t xml:space="preserve">Por lo menos cuatro alcaldías redujeron sus índices de percepción de inseguridad en un año, es decir de marzo de 2023 al mismo mes de 2024, según los resultados de la Encuesta Nacional de Seguridad Pública Urbana (ENSU). En una revisión realizada por EL UNIVERSAL a los datos del Instituto Nacional de Estadística y Geografía (Inegi), se observó que Benito Juárez, Miguel Hidalgo, Milpa Alta y Tláhuac tuvieron cambios estadísticos significantes. Benito Juárez pasó de 19.4% en percepción de inseguridad a 11.1%; 67% de los encuestados indicaron que su gobierno "era muy o algo efectivo para resolver los problemas más importantes". Le sigue Miguel Hidalgo, que en 2023 registró 46.1% y durante este primer trimestre 1a percepción de inseguridad descendió a 32.3%. En las alcaldías en el sur; como Milpa Alta, bajó de 59% a 45.6%, y Tláhuac, de 73.9% a 63.4%. Dichas alcaldías son las que mayores cambios presentaron en la capital del país en cuanto a la baja percepción de inseguridad. </w:t>
      </w:r>
    </w:p>
    <w:p>
      <w:hyperlink r:id="rId31" w:history="1">
        <w:r>
          <w:rPr>
            <w:color w:val="000DFF"/>
            <w:u w:val="single"/>
          </w:rPr>
          <w:t xml:space="preserve">El Universal</w:t>
        </w:r>
      </w:hyperlink>
    </w:p>
    <w:p>
      <w:pPr/>
      <w:r>
        <w:rPr>
          <w:rFonts w:ascii="Tahoma" w:hAnsi="Tahoma" w:eastAsia="Tahoma" w:cs="Tahoma"/>
          <w:color w:val="1B2232"/>
          <w:sz w:val="20"/>
          <w:szCs w:val="20"/>
          <w:b/>
          <w:bCs/>
        </w:rPr>
        <w:t xml:space="preserve">VEN PELIGROSO BUSCAR FOSAS EN TOLUCA SIN PRESENCIA POLICIACA</w:t>
      </w:r>
    </w:p>
    <w:p>
      <w:pPr/>
      <w:r>
        <w:rPr/>
        <w:t xml:space="preserve">En la capital mexiquense y las inmediaciones del Valle de Toluca no se pueden realizar búsquedas de personas desaparecidas sin la participación de las autoridades por las condiciones de violencia e inseguridad que privan, aseguró Elizabeth Machuca, del colectivo Flores en el Corazón. "Ahorita sería muy peligroso, es inseguro en el municipio de Toluca y sus alrededores por las fosas que se han estado localizado, por eso yo creo que en estos días, estaremos mejor en Ciudad de México y a partir del 27 de abril ya tendremos acciones de búsqueda", dijo. La representante del colectivo también llamó a los integrantes del crimen organizado para que les ofrezcan datos de dónde podrían localizar a sus familiares. "Les pedimos a los grupos delictivos que si saben dónde están nuestros familiares, nos los hagan saber de manera anónima, pueden mandar mensajes a infinidad de páginas de personas desaparecidas, donde podemos pedir información", dijo.</w:t>
      </w:r>
    </w:p>
    <w:p>
      <w:hyperlink r:id="rId35" w:history="1">
        <w:r>
          <w:rPr>
            <w:color w:val="000DFF"/>
            <w:u w:val="single"/>
          </w:rPr>
          <w:t xml:space="preserve">El Universal</w:t>
        </w:r>
      </w:hyperlink>
    </w:p>
    <w:p>
      <w:pPr>
        <w:jc w:val="center"/>
        <w:spacing w:after="100"/>
      </w:pPr>
      <w:r>
        <w:rPr>
          <w:rFonts w:ascii="Tahoma" w:hAnsi="Tahoma" w:eastAsia="Tahoma" w:cs="Tahoma"/>
          <w:color w:val="1B2232"/>
          <w:sz w:val="28"/>
          <w:szCs w:val="28"/>
          <w:b/>
          <w:bCs/>
        </w:rPr>
        <w:t xml:space="preserve">INTERNACIONAL</w:t>
      </w:r>
    </w:p>
    <w:p>
      <w:pPr/>
      <w:r>
        <w:rPr>
          <w:rFonts w:ascii="Tahoma" w:hAnsi="Tahoma" w:eastAsia="Tahoma" w:cs="Tahoma"/>
          <w:color w:val="1B2232"/>
          <w:sz w:val="20"/>
          <w:szCs w:val="20"/>
          <w:b/>
          <w:bCs/>
        </w:rPr>
        <w:t xml:space="preserve">IRÁN LANZÓ PEQUEÑA BOMBA NUCLEAR </w:t>
      </w:r>
    </w:p>
    <w:p>
      <w:pPr/>
      <w:r>
        <w:rPr/>
        <w:t xml:space="preserve">Indican que Teherán disparó 60 toneladas de explosivos a Israelíes Irán lanzó pequeña bomba nuclear  Autoridades militares de Israel mostraron ayer un fragmento de uno de los misiles lanzados por Irán el fin de semana. i Los misiles iraníes tienen una capacidad 100 veces superior a los lanzados por Hamas desde la Franja de Gaza en octubre. Rastrean misiles que pudieran dañar a población civil dentro de Israel. Irán lanzó aproximadamente 60 toneladas de explosivos contra Israel, lo que equivale a una pequeña bomba nuclear, el fin de semana pasado, aseguró la teniente Tammy Shur. En respuesta al ata que Israelí contra su consulado en Damasco, Siria, que resultó en la muerte de siete miembros de la Guardia Revolucionaria Islámica, Teherán envío una andanada de cohetes y misiles. Estimamos que todo el ata que implicó 60 toneladas de explosivos, dijo la joven portavoz del Ejército Israelí. Para ponerlo en perspectiva, todos esos explosivos equivalen a la cantidad de energía necesaria para alimentar una casa cómodamente durante 20 años, o es la misma cantidad de energía de una pequeña bomba nuclear, de un gran terremoto o de un impacto de meteorito. Las Fuerzas de Defensa de Israel (IDF, por sus siglas en inglés) recuperaron en el Mar Muerto un fragmento de uno de los más de 350 objetos voladores que lanzó Irán, específicamente el de un misil balístico.  En la madrugada del domingo, Irán disparó 350 objetos voladores contra Israel, de los cuales aproximadamente 110 frieron misiles balísticos, apuntó Shur al frente de los residuos de un misil en la unidad de la portavocería del Ejército.</w:t>
      </w:r>
    </w:p>
    <w:p>
      <w:hyperlink r:id="rId36" w:history="1">
        <w:r>
          <w:rPr>
            <w:color w:val="000DFF"/>
            <w:u w:val="single"/>
          </w:rPr>
          <w:t xml:space="preserve">El Universal</w:t>
        </w:r>
      </w:hyperlink>
    </w:p>
    <w:p>
      <w:hyperlink r:id="rId37" w:history="1">
        <w:r>
          <w:rPr>
            <w:color w:val="000DFF"/>
            <w:u w:val="single"/>
          </w:rPr>
          <w:t xml:space="preserve">Reforma</w:t>
        </w:r>
      </w:hyperlink>
    </w:p>
    <w:p>
      <w:hyperlink r:id="rId38" w:history="1">
        <w:r>
          <w:rPr>
            <w:color w:val="000DFF"/>
            <w:u w:val="single"/>
          </w:rPr>
          <w:t xml:space="preserve">La Jornada</w:t>
        </w:r>
      </w:hyperlink>
    </w:p>
    <w:p>
      <w:hyperlink r:id="rId39" w:history="1">
        <w:r>
          <w:rPr>
            <w:color w:val="000DFF"/>
            <w:u w:val="single"/>
          </w:rPr>
          <w:t xml:space="preserve">El Sol de México</w:t>
        </w:r>
      </w:hyperlink>
    </w:p>
    <w:p>
      <w:hyperlink r:id="rId40" w:history="1">
        <w:r>
          <w:rPr>
            <w:color w:val="000DFF"/>
            <w:u w:val="single"/>
          </w:rPr>
          <w:t xml:space="preserve">El Economista</w:t>
        </w:r>
      </w:hyperlink>
    </w:p>
    <w:sectPr>
      <w:headerReference w:type="default" r:id="rId41"/>
      <w:headerReference w:type="default" r:id="rId42"/>
      <w:pgSz w:orient="portrait" w:w="11905.511811024" w:h="16837.795275591"/>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La%20cronica/2024-04-19/A_1.pdf" TargetMode="External"/><Relationship Id="rId8" Type="http://schemas.openxmlformats.org/officeDocument/2006/relationships/hyperlink" Target="http://www.gaimpresos.com/Periodicos/El%20Universal/2024-04-19/A_8.pdf" TargetMode="External"/><Relationship Id="rId9" Type="http://schemas.openxmlformats.org/officeDocument/2006/relationships/hyperlink" Target="http://www.gaimpresos.com/Periodicos/ContraReplica/2024-04-19/A_1.pdf" TargetMode="External"/><Relationship Id="rId10" Type="http://schemas.openxmlformats.org/officeDocument/2006/relationships/hyperlink" Target="http://www.gaimpresos.com/Periodicos/El%20Universal/2024-04-19/A_14.pdf" TargetMode="External"/><Relationship Id="rId11" Type="http://schemas.openxmlformats.org/officeDocument/2006/relationships/hyperlink" Target="http://www.gaimpresos.com/Periodicos/La%20cronica/2024-04-19/A_6.pdf" TargetMode="External"/><Relationship Id="rId12" Type="http://schemas.openxmlformats.org/officeDocument/2006/relationships/hyperlink" Target="http://www.gaimpresos.com/Periodicos/el%20sol%20de%20mexico/2024-04-19/A_12.pdf" TargetMode="External"/><Relationship Id="rId13" Type="http://schemas.openxmlformats.org/officeDocument/2006/relationships/hyperlink" Target="http://www.gaimpresos.com/Periodicos/la%20prensa/2024-04-19/A_18.pdf" TargetMode="External"/><Relationship Id="rId14" Type="http://schemas.openxmlformats.org/officeDocument/2006/relationships/hyperlink" Target="http://www.gaimpresos.com/Periodicos/Reporte%20Indigo%20Df/2024-04-19/A_4.pdf" TargetMode="External"/><Relationship Id="rId15" Type="http://schemas.openxmlformats.org/officeDocument/2006/relationships/hyperlink" Target="http://www.gaimpresos.com/Periodicos/El%20Universal/2024-04-19/A_13.pdf" TargetMode="External"/><Relationship Id="rId16" Type="http://schemas.openxmlformats.org/officeDocument/2006/relationships/hyperlink" Target="http://www.gaimpresos.com/Periodicos/El%20Universal/2024-04-19/A_5.pdf" TargetMode="External"/><Relationship Id="rId17" Type="http://schemas.openxmlformats.org/officeDocument/2006/relationships/hyperlink" Target="http://www.gaimpresos.com/Periodicos/El%20Universal/2024-04-19/A_6.pdf" TargetMode="External"/><Relationship Id="rId18" Type="http://schemas.openxmlformats.org/officeDocument/2006/relationships/hyperlink" Target="http://www.gaimpresos.com/Periodicos/El%20Reforma/2024-04-19/A_3.pdf" TargetMode="External"/><Relationship Id="rId19" Type="http://schemas.openxmlformats.org/officeDocument/2006/relationships/hyperlink" Target="http://www.gaimpresos.com/Periodicos/El%20Universal/2024-04-19/A_26.pdf" TargetMode="External"/><Relationship Id="rId20" Type="http://schemas.openxmlformats.org/officeDocument/2006/relationships/hyperlink" Target="http://www.gaimpresos.com/Periodicos/El%20Reforma/2024-04-19/A_1.pdf" TargetMode="External"/><Relationship Id="rId21" Type="http://schemas.openxmlformats.org/officeDocument/2006/relationships/hyperlink" Target="http://www.gaimpresos.com/Periodicos/El%20Reforma/2024-04-19/NEG_1.pdf" TargetMode="External"/><Relationship Id="rId22" Type="http://schemas.openxmlformats.org/officeDocument/2006/relationships/hyperlink" Target="http://www.gaimpresos.com/Periodicos/Excelsior/2024-04-19/A_31.pdf" TargetMode="External"/><Relationship Id="rId23" Type="http://schemas.openxmlformats.org/officeDocument/2006/relationships/hyperlink" Target="http://www.gaimpresos.com/Periodicos/Publimetro%20DF/2024-04-19/A_7.pdf" TargetMode="External"/><Relationship Id="rId24" Type="http://schemas.openxmlformats.org/officeDocument/2006/relationships/hyperlink" Target="http://www.gaimpresos.com/Periodicos/El%20Universal/2024-04-19/A_27.pdf" TargetMode="External"/><Relationship Id="rId25" Type="http://schemas.openxmlformats.org/officeDocument/2006/relationships/hyperlink" Target="http://www.gaimpresos.com/Periodicos/Excelsior/2024-04-19/A_34.pdf" TargetMode="External"/><Relationship Id="rId26" Type="http://schemas.openxmlformats.org/officeDocument/2006/relationships/hyperlink" Target="http://www.gaimpresos.com/Periodicos/El%20Reforma/2024-04-19/NEG_2.pdf" TargetMode="External"/><Relationship Id="rId27" Type="http://schemas.openxmlformats.org/officeDocument/2006/relationships/hyperlink" Target="http://www.gaimpresos.com/Periodicos/El%20Universal/2024-04-19/A_2.pdf" TargetMode="External"/><Relationship Id="rId28" Type="http://schemas.openxmlformats.org/officeDocument/2006/relationships/hyperlink" Target="http://www.gaimpresos.com/Periodicos/Excelsior/2024-04-19/A_8.pdf" TargetMode="External"/><Relationship Id="rId29" Type="http://schemas.openxmlformats.org/officeDocument/2006/relationships/hyperlink" Target="http://www.gaimpresos.com/Periodicos/El%20Universal/2024-04-19/A_11.pdf" TargetMode="External"/><Relationship Id="rId30" Type="http://schemas.openxmlformats.org/officeDocument/2006/relationships/hyperlink" Target="http://www.gaimpresos.com/Periodicos/El%20Universal/2024-04-19/A_16.pdf" TargetMode="External"/><Relationship Id="rId31" Type="http://schemas.openxmlformats.org/officeDocument/2006/relationships/hyperlink" Target="http://www.gaimpresos.com/Periodicos/El%20Universal/2024-04-19/A_23.pdf" TargetMode="External"/><Relationship Id="rId32" Type="http://schemas.openxmlformats.org/officeDocument/2006/relationships/hyperlink" Target="http://www.gaimpresos.com/Periodicos/El%20Reforma/2024-04-19/CIU_4.pdf" TargetMode="External"/><Relationship Id="rId33" Type="http://schemas.openxmlformats.org/officeDocument/2006/relationships/hyperlink" Target="http://www.gaimpresos.com/Periodicos/Excelsior/2024-04-19/A_20.pdf" TargetMode="External"/><Relationship Id="rId34" Type="http://schemas.openxmlformats.org/officeDocument/2006/relationships/hyperlink" Target="http://www.gaimpresos.com/Periodicos/Ovaciones/2024-04-19/A_22.pdf" TargetMode="External"/><Relationship Id="rId35" Type="http://schemas.openxmlformats.org/officeDocument/2006/relationships/hyperlink" Target="http://www.gaimpresos.com/Periodicos/El%20Universal/2024-04-19/A_24.pdf" TargetMode="External"/><Relationship Id="rId36" Type="http://schemas.openxmlformats.org/officeDocument/2006/relationships/hyperlink" Target="http://www.gaimpresos.com/Periodicos/El%20Universal/2024-04-19/A_18.pdf" TargetMode="External"/><Relationship Id="rId37" Type="http://schemas.openxmlformats.org/officeDocument/2006/relationships/hyperlink" Target="http://www.gaimpresos.com/Periodicos/El%20Reforma/2024-04-19/A_14.pdf" TargetMode="External"/><Relationship Id="rId38" Type="http://schemas.openxmlformats.org/officeDocument/2006/relationships/hyperlink" Target="http://www.gaimpresos.com/Periodicos/La%20Jornada%20De%20Mexico/2024-04-19/1_A.pdf" TargetMode="External"/><Relationship Id="rId39" Type="http://schemas.openxmlformats.org/officeDocument/2006/relationships/hyperlink" Target="http://www.gaimpresos.com/Periodicos/el%20sol%20de%20mexico/2024-04-19/A_1.pdf" TargetMode="External"/><Relationship Id="rId40" Type="http://schemas.openxmlformats.org/officeDocument/2006/relationships/hyperlink" Target="http://www.gaimpresos.com/Periodicos/El%20Economista/2024-04-19/A_1.pdf" TargetMode="External"/><Relationship Id="rId41" Type="http://schemas.openxmlformats.org/officeDocument/2006/relationships/header" Target="header1.xml"/><Relationship Id="rId4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2025-12-06T12:47:58-06:00</dcterms:created>
  <dcterms:modified xsi:type="dcterms:W3CDTF">2025-12-06T12:47:58-06:00</dcterms:modified>
</cp:coreProperties>
</file>

<file path=docProps/custom.xml><?xml version="1.0" encoding="utf-8"?>
<Properties xmlns="http://schemas.openxmlformats.org/officeDocument/2006/custom-properties" xmlns:vt="http://schemas.openxmlformats.org/officeDocument/2006/docPropsVTypes"/>
</file>