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spacing w:after="100"/>
      </w:pPr>
      <w:r>
        <w:rPr>
          <w:rFonts w:ascii="Tahoma" w:hAnsi="Tahoma" w:eastAsia="Tahoma" w:cs="Tahoma"/>
          <w:color w:val="1B2232"/>
          <w:sz w:val="28"/>
          <w:szCs w:val="28"/>
          <w:b/>
          <w:bCs/>
        </w:rPr>
        <w:t xml:space="preserve">PULSO NACIONAL</w:t>
      </w:r>
    </w:p>
    <w:p>
      <w:pPr/>
      <w:r>
        <w:rPr>
          <w:rFonts w:ascii="Tahoma" w:hAnsi="Tahoma" w:eastAsia="Tahoma" w:cs="Tahoma"/>
          <w:color w:val="1B2232"/>
          <w:sz w:val="20"/>
          <w:szCs w:val="20"/>
          <w:b/>
          <w:bCs/>
        </w:rPr>
        <w:t xml:space="preserve">APLAZAN DISCUSIÓN DEL FONDO DE PENSIONES </w:t>
      </w:r>
    </w:p>
    <w:p>
      <w:pPr/>
      <w:r>
        <w:rPr/>
        <w:t xml:space="preserve">La mesa directiva de la Cámara de Diputados suspendió este miércoles la discusión y votación para aprobar la reforma que propone crear el Fondo de Pensiones para el Bienestar y que se busca financiar con cuentas inactivas de las Administradoras de fondos para el retiro (Afores). Tras casi dos horas de sesión, diputados del Partido Acción Nacional (PAN) denunciaron que el dictamen que se iba a discutir en el Pleno era diferente al que había sido aprobado el lunes por la Comisión de Seguridad Social. Este jueves volverán a reunirse en dicha Comisión para debatir los cambios. La diputada panista Margarita Zavala señaló que el dictamen contenía al menos 10 modificaciones sustanciales. "Nos resulta muy grave presentar un dictamen que venga con cambios a la hora de presentarlo al Pleno y que resulte distinto con más de 10 cambios. Pido que se revise primero antes de entrar en discusión", exigió la legisladora en San Lázaro. También, el panista losé Elías Lixa solicitó al Pleno investigar las modificaciones al dictamen y que se sancione a quienes resulten responsables, así como que se publique de manera correcta el dictamen aprobado en la Gaceta Parlamentaria. Ante las discrepancias, Ignacio Mier, diputado de Morena, quien presentó esta iniciativa de reforma, solicitó un receso para revisar el dictamen y aclarar las diferencias.</w:t>
      </w:r>
    </w:p>
    <w:p>
      <w:hyperlink r:id="rId7" w:history="1">
        <w:r>
          <w:rPr>
            <w:color w:val="000DFF"/>
            <w:u w:val="single"/>
          </w:rPr>
          <w:t xml:space="preserve">El Universal</w:t>
        </w:r>
      </w:hyperlink>
    </w:p>
    <w:p>
      <w:hyperlink r:id="rId8" w:history="1">
        <w:r>
          <w:rPr>
            <w:color w:val="000DFF"/>
            <w:u w:val="single"/>
          </w:rPr>
          <w:t xml:space="preserve">Reforma</w:t>
        </w:r>
      </w:hyperlink>
    </w:p>
    <w:p>
      <w:hyperlink r:id="rId9" w:history="1">
        <w:r>
          <w:rPr>
            <w:color w:val="000DFF"/>
            <w:u w:val="single"/>
          </w:rPr>
          <w:t xml:space="preserve">Milenio</w:t>
        </w:r>
      </w:hyperlink>
    </w:p>
    <w:p>
      <w:hyperlink r:id="rId10" w:history="1">
        <w:r>
          <w:rPr>
            <w:color w:val="000DFF"/>
            <w:u w:val="single"/>
          </w:rPr>
          <w:t xml:space="preserve">La Jornada</w:t>
        </w:r>
      </w:hyperlink>
    </w:p>
    <w:p>
      <w:hyperlink r:id="rId11" w:history="1">
        <w:r>
          <w:rPr>
            <w:color w:val="000DFF"/>
            <w:u w:val="single"/>
          </w:rPr>
          <w:t xml:space="preserve">Excélsior</w:t>
        </w:r>
      </w:hyperlink>
    </w:p>
    <w:p>
      <w:hyperlink r:id="rId12" w:history="1">
        <w:r>
          <w:rPr>
            <w:color w:val="000DFF"/>
            <w:u w:val="single"/>
          </w:rPr>
          <w:t xml:space="preserve">El Sol de México</w:t>
        </w:r>
      </w:hyperlink>
    </w:p>
    <w:p>
      <w:hyperlink r:id="rId13" w:history="1">
        <w:r>
          <w:rPr>
            <w:color w:val="000DFF"/>
            <w:u w:val="single"/>
          </w:rPr>
          <w:t xml:space="preserve">24 Horas</w:t>
        </w:r>
      </w:hyperlink>
    </w:p>
    <w:p>
      <w:hyperlink r:id="rId14" w:history="1">
        <w:r>
          <w:rPr>
            <w:color w:val="000DFF"/>
            <w:u w:val="single"/>
          </w:rPr>
          <w:t xml:space="preserve">24 Horas</w:t>
        </w:r>
      </w:hyperlink>
    </w:p>
    <w:p>
      <w:hyperlink r:id="rId15" w:history="1">
        <w:r>
          <w:rPr>
            <w:color w:val="000DFF"/>
            <w:u w:val="single"/>
          </w:rPr>
          <w:t xml:space="preserve">El Financiero</w:t>
        </w:r>
      </w:hyperlink>
    </w:p>
    <w:p>
      <w:hyperlink r:id="rId16" w:history="1">
        <w:r>
          <w:rPr>
            <w:color w:val="000DFF"/>
            <w:u w:val="single"/>
          </w:rPr>
          <w:t xml:space="preserve">La Crónica</w:t>
        </w:r>
      </w:hyperlink>
    </w:p>
    <w:p>
      <w:hyperlink r:id="rId17" w:history="1">
        <w:r>
          <w:rPr>
            <w:color w:val="000DFF"/>
            <w:u w:val="single"/>
          </w:rPr>
          <w:t xml:space="preserve">El Economista</w:t>
        </w:r>
      </w:hyperlink>
    </w:p>
    <w:p>
      <w:hyperlink r:id="rId18" w:history="1">
        <w:r>
          <w:rPr>
            <w:color w:val="000DFF"/>
            <w:u w:val="single"/>
          </w:rPr>
          <w:t xml:space="preserve">Diario de México</w:t>
        </w:r>
      </w:hyperlink>
    </w:p>
    <w:p>
      <w:hyperlink r:id="rId19" w:history="1">
        <w:r>
          <w:rPr>
            <w:color w:val="000DFF"/>
            <w:u w:val="single"/>
          </w:rPr>
          <w:t xml:space="preserve">Uno Mas Uno</w:t>
        </w:r>
      </w:hyperlink>
    </w:p>
    <w:p>
      <w:hyperlink r:id="rId20" w:history="1">
        <w:r>
          <w:rPr>
            <w:color w:val="000DFF"/>
            <w:u w:val="single"/>
          </w:rPr>
          <w:t xml:space="preserve">La Prensa</w:t>
        </w:r>
      </w:hyperlink>
    </w:p>
    <w:p>
      <w:hyperlink r:id="rId21" w:history="1">
        <w:r>
          <w:rPr>
            <w:color w:val="000DFF"/>
            <w:u w:val="single"/>
          </w:rPr>
          <w:t xml:space="preserve">El Día</w:t>
        </w:r>
      </w:hyperlink>
    </w:p>
    <w:p>
      <w:hyperlink r:id="rId22" w:history="1">
        <w:r>
          <w:rPr>
            <w:color w:val="000DFF"/>
            <w:u w:val="single"/>
          </w:rPr>
          <w:t xml:space="preserve">El Independiente</w:t>
        </w:r>
      </w:hyperlink>
    </w:p>
    <w:p>
      <w:pPr/>
      <w:r>
        <w:rPr>
          <w:rFonts w:ascii="Tahoma" w:hAnsi="Tahoma" w:eastAsia="Tahoma" w:cs="Tahoma"/>
          <w:color w:val="1B2232"/>
          <w:sz w:val="20"/>
          <w:szCs w:val="20"/>
          <w:b/>
          <w:bCs/>
        </w:rPr>
        <w:t xml:space="preserve">CASO ZALDÍVAR. FUERA DE LO COMÚN, DICE </w:t>
      </w:r>
    </w:p>
    <w:p>
      <w:pPr/>
      <w:r>
        <w:rPr/>
        <w:t xml:space="preserve">La candidata presidencial de la coalición Sigamos Haciendo Historia, Claudia Sheinbaum Pardo, reiteró que la investigación contra Arturo Zaldívar Lelo de Larrea, ministro en retiro e integrante de su equipo, es algo fuera de lo común y más en medio de un proceso electoral. Detalló que el juicio político contra Norma Piña Hernández, presidenta de la Suprema Corte de Justicia de la Nación (SCJN), ya lo trabajan miembros de su campaña, entre ellos el dirigente nacional de Morena, Mario Delgado Carrillo. Lo que hizo (...) la Suprema Corte, la ministra Norma Piña, de levantar una investigación en 24 horas, desarrollarla y además públicamente sancionar es algo fuera de lo común y más en medio de un proceso electoral, declaró en entrevista antes de un mitin aquí. A pregunta expresa sobre si tendría que llegarse a juicio político contra Piña Hernández por el caso contra Zaldívar Lelo de Larrea, la candidata respondió: Ya lo están definiendo nuestros compañeros. Sobre las denuncias contra Xóchitl Gálvez Ruiz, candidata presidencial de la oposición, que emprenderá Morena ante la Secretaría de la Función Pública (SFP) y la Contraloria, Sheinbaum Pardo aclaró que se encuentra en u n a contienda y que el pueblo de México ya decidió. Nosotros estamos en una contienda electoral, y el pueblo de México ya decidió, ya nada más que salgan a votar. </w:t>
      </w:r>
    </w:p>
    <w:p>
      <w:hyperlink r:id="rId23" w:history="1">
        <w:r>
          <w:rPr>
            <w:color w:val="000DFF"/>
            <w:u w:val="single"/>
          </w:rPr>
          <w:t xml:space="preserve">El Universal</w:t>
        </w:r>
      </w:hyperlink>
    </w:p>
    <w:p>
      <w:hyperlink r:id="rId24" w:history="1">
        <w:r>
          <w:rPr>
            <w:color w:val="000DFF"/>
            <w:u w:val="single"/>
          </w:rPr>
          <w:t xml:space="preserve">Reforma</w:t>
        </w:r>
      </w:hyperlink>
    </w:p>
    <w:p>
      <w:hyperlink r:id="rId25" w:history="1">
        <w:r>
          <w:rPr>
            <w:color w:val="000DFF"/>
            <w:u w:val="single"/>
          </w:rPr>
          <w:t xml:space="preserve">La Jornada</w:t>
        </w:r>
      </w:hyperlink>
    </w:p>
    <w:p>
      <w:pPr/>
      <w:r>
        <w:rPr>
          <w:rFonts w:ascii="Tahoma" w:hAnsi="Tahoma" w:eastAsia="Tahoma" w:cs="Tahoma"/>
          <w:color w:val="1B2232"/>
          <w:sz w:val="20"/>
          <w:szCs w:val="20"/>
          <w:b/>
          <w:bCs/>
        </w:rPr>
        <w:t xml:space="preserve">RESPALDA A PRESIDENTA DE LA SUPREMA CORTE </w:t>
      </w:r>
    </w:p>
    <w:p>
      <w:pPr/>
      <w:r>
        <w:rPr/>
        <w:t xml:space="preserve">La candidata presidencial de la alianza opositora, Xóchitl Gálvez Ruiz, respaldó a la ministra Norma Pi ña Hernández, presidenta de la Suprema Corte de Justicia de la Nación (SCJN), en la investigación que ordenó sobre la presunta red que encabezó Arturo Zaldívar Lelo de Larrea para presionar a jueces y magistrados. Todo mi respaldo a la ministra Norma Piña. Ella está dando la pelea para combatir la corrupción, enfatizó. Entrevistada en su visita a es te municipio, donde se reunió con simpatizantes del PAN, PRI y PRD, la abanderada presidencial advirtió que es tiempo de que se abra la caja de Pandora y se sepa qué pasó realmente. Hay testimonios de periodistas serios de cómo se m anejaba la justicia desde el Poder Judicial y cómo se amenazaba a los jueces, precisó. Qué bueno que la ministra Piña haga una investigación a fondo, porque tanto que se quejaba el presidente Andrés Manuel López Obrador de la corrupción en el Poder Judicial, justo ellos representan la corrupción en el Poder Judicial. Reiteró que el ministro en retiro Arturo Zaldívar debe enfrentar las denuncias en su contra y dejar de mentir y politizar un tema estrictamente judicial. No hay un tema político, yo ando en campaña, ella Norma Piña está en lo suyo, yo no la he visitado, no la he visto y si Zaldívar tiene pruebas, que presen te lo que quiera presentar, pero que deje de estar chillando. Durante su mensaje, criticó la gestión del gobernador con licencia de Morelos, Cuauhtémoc Blanco Bravo, quien, dijo, no combatió a la delincuencia.</w:t>
      </w:r>
    </w:p>
    <w:p>
      <w:hyperlink r:id="rId23" w:history="1">
        <w:r>
          <w:rPr>
            <w:color w:val="000DFF"/>
            <w:u w:val="single"/>
          </w:rPr>
          <w:t xml:space="preserve">El Universal</w:t>
        </w:r>
      </w:hyperlink>
    </w:p>
    <w:p>
      <w:hyperlink r:id="rId26" w:history="1">
        <w:r>
          <w:rPr>
            <w:color w:val="000DFF"/>
            <w:u w:val="single"/>
          </w:rPr>
          <w:t xml:space="preserve">Reforma</w:t>
        </w:r>
      </w:hyperlink>
    </w:p>
    <w:p>
      <w:pPr/>
      <w:r>
        <w:rPr>
          <w:rFonts w:ascii="Tahoma" w:hAnsi="Tahoma" w:eastAsia="Tahoma" w:cs="Tahoma"/>
          <w:color w:val="1B2232"/>
          <w:sz w:val="20"/>
          <w:szCs w:val="20"/>
          <w:b/>
          <w:bCs/>
        </w:rPr>
        <w:t xml:space="preserve">INVESTIGAN FILTRACIÓN DE ACUERDO DE PIÑA </w:t>
      </w:r>
    </w:p>
    <w:p>
      <w:pPr/>
      <w:r>
        <w:rPr/>
        <w:t xml:space="preserve">La Suprema Corte de Justicia y el Consejo de la Judicatura Federal (CJF) informaron ayer que por orden de la presidenta Norma Piña se investigará de oficio la filtración del acuerdo que ella misma firmó el 9 de abril. En dicho acuerdo, la ministra ordenó iniciar una investigación contra los colaboradores más cercanos de Arturo Zaldívar, ministro en retiro, ante una denuncia que detalla presiones a jueces y magistrados, corrupción, desvío de recursos, acoso, hostigamiento, y muchas otras irregularidades en el periodo 2019 a 2022. Zaldívar no fue incluido en la investigación del CJF por ser ministro en retiro, de a la que la denuncia fuera turnada a la Corte. La filtración de ese acuerdo a la prensa provocó una reacción furibunda de Zaldívar y sus aliados en Morena, quienes han promovido una denuncia de juicio político contra Piña. Los órganos judiciales justificaron la admisión de la denuncia anónima contra Zaldívar, con base en una reforma de 2020 -durante la presidencia del exministro Acuerdo General del CJF, que regula las responsabilidades administrativas.</w:t>
      </w:r>
    </w:p>
    <w:p>
      <w:hyperlink r:id="rId27" w:history="1">
        <w:r>
          <w:rPr>
            <w:color w:val="000DFF"/>
            <w:u w:val="single"/>
          </w:rPr>
          <w:t xml:space="preserve">El Universal</w:t>
        </w:r>
      </w:hyperlink>
    </w:p>
    <w:p>
      <w:hyperlink r:id="rId28" w:history="1">
        <w:r>
          <w:rPr>
            <w:color w:val="000DFF"/>
            <w:u w:val="single"/>
          </w:rPr>
          <w:t xml:space="preserve">Reforma</w:t>
        </w:r>
      </w:hyperlink>
    </w:p>
    <w:p>
      <w:hyperlink r:id="rId29" w:history="1">
        <w:r>
          <w:rPr>
            <w:color w:val="000DFF"/>
            <w:u w:val="single"/>
          </w:rPr>
          <w:t xml:space="preserve">Uno Mas Uno</w:t>
        </w:r>
      </w:hyperlink>
    </w:p>
    <w:p>
      <w:pPr/>
      <w:r>
        <w:rPr>
          <w:rFonts w:ascii="Tahoma" w:hAnsi="Tahoma" w:eastAsia="Tahoma" w:cs="Tahoma"/>
          <w:color w:val="1B2232"/>
          <w:sz w:val="20"/>
          <w:szCs w:val="20"/>
          <w:b/>
          <w:bCs/>
        </w:rPr>
        <w:t xml:space="preserve">AUMENTAN LAS PENAS POR ABUSO A MENORES </w:t>
      </w:r>
    </w:p>
    <w:p>
      <w:pPr/>
      <w:r>
        <w:rPr/>
        <w:t xml:space="preserve">El Presidente Andrés Manuel López Obrador promulgó ayer una reforma al Código Penal Federal para aumentar a casi 30 años de cárcel la pena por abuso sexual, cuando se cometa contra un menor de 15 años de edad. Actualmente, el artículo 261 de ese ordenamiento establece una pena de seis a 13 años de prisión, que puede incrementarse hasta los 19 años y medio, cuando el abuso se cometa con violencia. Ahora, con los cambios aprobados por el Congreso y promulgados por el Ejecutivo, la sanción podría ir hasta casi 30 años de cárcel, de acuerdo con lo que establece el artículo 266 Bis del Código. El endurecimiento de la sanción aplicará cuando el abuso sexual contra el menor se cometa con la intervención directa o inmediata de dos o más personas. El incremento del castigo se aplicará contra quien cometa ese delito y desempeñe un cargo o empleo público. "Las penas previstas para el abuso sexual (...) se aumentarán hasta en una mitad en su mínimo y máximo, cuando (...) el delito fuere cometido por la persona que tiene al ofendido bajo su custodia, guarda o educación o aproveche la confianza en él depositada. (Y cuando) el delito fuere cometido previa suministración de estupefacientes o psicotrópicos a la víctima, en contra de su voluntad".</w:t>
      </w:r>
    </w:p>
    <w:p>
      <w:hyperlink r:id="rId30" w:history="1">
        <w:r>
          <w:rPr>
            <w:color w:val="000DFF"/>
            <w:u w:val="single"/>
          </w:rPr>
          <w:t xml:space="preserve">Reforma</w:t>
        </w:r>
      </w:hyperlink>
    </w:p>
    <w:p>
      <w:pPr/>
      <w:r>
        <w:rPr>
          <w:rFonts w:ascii="Tahoma" w:hAnsi="Tahoma" w:eastAsia="Tahoma" w:cs="Tahoma"/>
          <w:color w:val="1B2232"/>
          <w:sz w:val="20"/>
          <w:szCs w:val="20"/>
          <w:b/>
          <w:bCs/>
        </w:rPr>
        <w:t xml:space="preserve">CAE MÁQUINA DE 800 TONELADAS EN EL VIADUCTO DEL TREN INTERURBANO</w:t>
      </w:r>
    </w:p>
    <w:p>
      <w:pPr/>
      <w:r>
        <w:rPr/>
        <w:t xml:space="preserve">Una lanzadora de dovelas, de 200 metros de longitud y 800 toneladas de peso, se deslizó y cayó en el frente de obra 23 del viaducto elevado del Tren Interurbano, a la altura de la presa Tacubaya, alcaldía Álvaro Obregón, a pesar de lo cual no hubo personas heridas. El secretario de Obras y Servicios, Jesús Esteva Medina, informó que se realizarán dos peritajes, uno por parte de la constructora Rizzani Eccher responsable de los trabajos en esa parte, y otro por la Fiscalía General de Justicia, con el fin de conocer las causas del percance que ocurrió a las 3 de madrugada de ayer. Se trata del cuarto incidente en lo que va del año, tres en el tramo a cargo del gobierno capitalino, entre ellos el hundimiento de una perforadora y la caída de una estructura sobre dos vehículos. El funcionario explicó que la lanzadora se desestabilizó durante las maniobras de desplazamiento entre un apoyo a otro, lo que provocó su deslizamiento y posterior caída, justo a 200 metros de concluir con el trayecto de 2.5 kilómetros de dovelas que conectarán con un doble voladizo. Esteva aseguró que hasta conocer el resultado de los peritajes se llevará a cabo el seccionamiento y retiro de la lanzadora para su sustitución, se mantendrán suspendidos los trabajos en el área, mientras en el resto de los frentes continúan las actividades.</w:t>
      </w:r>
    </w:p>
    <w:p>
      <w:hyperlink r:id="rId31" w:history="1">
        <w:r>
          <w:rPr>
            <w:color w:val="000DFF"/>
            <w:u w:val="single"/>
          </w:rPr>
          <w:t xml:space="preserve">El Universal</w:t>
        </w:r>
      </w:hyperlink>
    </w:p>
    <w:p>
      <w:hyperlink r:id="rId32" w:history="1">
        <w:r>
          <w:rPr>
            <w:color w:val="000DFF"/>
            <w:u w:val="single"/>
          </w:rPr>
          <w:t xml:space="preserve">La Jornada</w:t>
        </w:r>
      </w:hyperlink>
    </w:p>
    <w:p>
      <w:hyperlink r:id="rId33" w:history="1">
        <w:r>
          <w:rPr>
            <w:color w:val="000DFF"/>
            <w:u w:val="single"/>
          </w:rPr>
          <w:t xml:space="preserve">Excélsior</w:t>
        </w:r>
      </w:hyperlink>
    </w:p>
    <w:p>
      <w:hyperlink r:id="rId34" w:history="1">
        <w:r>
          <w:rPr>
            <w:color w:val="000DFF"/>
            <w:u w:val="single"/>
          </w:rPr>
          <w:t xml:space="preserve">24 Horas</w:t>
        </w:r>
      </w:hyperlink>
    </w:p>
    <w:p>
      <w:hyperlink r:id="rId35" w:history="1">
        <w:r>
          <w:rPr>
            <w:color w:val="000DFF"/>
            <w:u w:val="single"/>
          </w:rPr>
          <w:t xml:space="preserve">La Crónica</w:t>
        </w:r>
      </w:hyperlink>
    </w:p>
    <w:p>
      <w:pPr>
        <w:jc w:val="center"/>
        <w:spacing w:after="100"/>
      </w:pPr>
      <w:r>
        <w:rPr>
          <w:rFonts w:ascii="Tahoma" w:hAnsi="Tahoma" w:eastAsia="Tahoma" w:cs="Tahoma"/>
          <w:color w:val="1B2232"/>
          <w:sz w:val="28"/>
          <w:szCs w:val="28"/>
          <w:b/>
          <w:bCs/>
        </w:rPr>
        <w:t xml:space="preserve">CRÓNICA LEGISLATIVA Y JURIDICA</w:t>
      </w:r>
    </w:p>
    <w:p>
      <w:pPr/>
      <w:r>
        <w:rPr>
          <w:rFonts w:ascii="Tahoma" w:hAnsi="Tahoma" w:eastAsia="Tahoma" w:cs="Tahoma"/>
          <w:color w:val="1B2232"/>
          <w:sz w:val="20"/>
          <w:szCs w:val="20"/>
          <w:b/>
          <w:bCs/>
        </w:rPr>
        <w:t xml:space="preserve">APRUEBA EL SENADO AMNISTÍA DIRECTA </w:t>
      </w:r>
    </w:p>
    <w:p>
      <w:pPr/>
      <w:r>
        <w:rPr/>
        <w:t xml:space="preserve">La fracción mayoritaria de Morena y sus aliados en el Senado avalaron anoche una reforma que le permite al Presidente otorgar el beneficio de la amnistía de manera directa. Con 67 votos a favor, 32 en contra y cero abstenciones, el pleno aprobó adicionar un artículo 9 a la Ley de Amnistía para señalar que el Presidente podrá otorgar la amnistía a personas que aporten elementos comprobables y útiles para conocer la verdad de hechos relevantes para el Estado mexicano sin sujetarse al procedimiento establecido. La modificación señala que, en estos casos, no se aplicará la restricción del artículo 2 de dicha norma, el cual señala que la amnistía no puede adherirse a quienes hayan cometido delitos contra la vida, la integridad corporal, secuestro, cuando haya utilizado armas de fuego en la comisión del delito. Tampoco a personas indiciadas por los ilícitos considerados en el artículo 19 constitucional, es decir, que ameritan prisión preventiva oficiosa o que hayan cometido delitos graves del orden federal. Germán Martínez, senador del Grupo Plural, afirmó que la iniciativa pone en el centro al Presidente y al poder, no a las víctimas.</w:t>
      </w:r>
    </w:p>
    <w:p>
      <w:hyperlink r:id="rId36" w:history="1">
        <w:r>
          <w:rPr>
            <w:color w:val="000DFF"/>
            <w:u w:val="single"/>
          </w:rPr>
          <w:t xml:space="preserve">Reforma</w:t>
        </w:r>
      </w:hyperlink>
    </w:p>
    <w:p>
      <w:hyperlink r:id="rId37" w:history="1">
        <w:r>
          <w:rPr>
            <w:color w:val="000DFF"/>
            <w:u w:val="single"/>
          </w:rPr>
          <w:t xml:space="preserve">La Razón</w:t>
        </w:r>
      </w:hyperlink>
    </w:p>
    <w:p>
      <w:pPr/>
      <w:r>
        <w:rPr>
          <w:rFonts w:ascii="Tahoma" w:hAnsi="Tahoma" w:eastAsia="Tahoma" w:cs="Tahoma"/>
          <w:color w:val="1B2232"/>
          <w:sz w:val="20"/>
          <w:szCs w:val="20"/>
          <w:b/>
          <w:bCs/>
        </w:rPr>
        <w:t xml:space="preserve">QUITA SCJN OBSTÁCULO PARA EMITIR PASAPORTES </w:t>
      </w:r>
    </w:p>
    <w:p>
      <w:pPr/>
      <w:r>
        <w:rPr/>
        <w:t xml:space="preserve">El registro extemporáneo del nacimiento de una persona no puede ser obstáculo para emitirle un pasaporte, resolvió ayer la Suprema Corte de Justicia. La Segunda Sala declaró inconstitucional el artículo 15 del Reglamento de Pasaportes, que exige documentos adicionales cuando el solicitante fue registrado más de tres años después de su nacimiento. La inscripción tardía en el Registro Civil de niños, o incluso de adultos, era un fenómeno relativamente común en México, sobre todo en poblaciones rurales o marginadas, donde por décadas se dio valor legal a la fe de bautismo como prueba del nacimiento. Por tres votos contra uno, la Corte consideró que pedir documentos adicionales en las delegaciones de la Secretaría de Relaciones Exteriores (SRE), que emiten los pasaportes, viola derechos humanos a la identidad, la no discriminación y la libertad de tránsito para salir del País. "El registro extemporáneo de un nacimiento, sobre todo en el caso de las personas adultas, suele conllevar una historia de exclusión y privación de derechos fundamentales", explicó la Corte, al aprobar un proyecto del Ministro Javier Láynez.</w:t>
      </w:r>
    </w:p>
    <w:p>
      <w:hyperlink r:id="rId36" w:history="1">
        <w:r>
          <w:rPr>
            <w:color w:val="000DFF"/>
            <w:u w:val="single"/>
          </w:rPr>
          <w:t xml:space="preserve">Reforma</w:t>
        </w:r>
      </w:hyperlink>
    </w:p>
    <w:p>
      <w:pPr/>
      <w:r>
        <w:rPr>
          <w:rFonts w:ascii="Tahoma" w:hAnsi="Tahoma" w:eastAsia="Tahoma" w:cs="Tahoma"/>
          <w:color w:val="1B2232"/>
          <w:sz w:val="20"/>
          <w:szCs w:val="20"/>
          <w:b/>
          <w:bCs/>
        </w:rPr>
        <w:t xml:space="preserve">DENUNCIA MAGISTRADA PRESIONES DE PARTIDOS</w:t>
      </w:r>
    </w:p>
    <w:p>
      <w:pPr/>
      <w:r>
        <w:rPr/>
        <w:t xml:space="preserve">La Magistrada Janine Otálora denunció ayer que personal del Tribunal Electoral filtró a partidos sus propuestas de quitar la candidatura a diputado federal a Francisco García Cabeza de Vaca y de mantener la de Ricardo Anaya al Senado, lo que provocó que recibiera presiones de las partes involucradas. Al arrancar la sesión, la Magistrada advirtió que presentará un recurso interno para que esto no se repita "Esto provocó, incluso, que recibiera en mi ponencia, dentro del expediente, un escrito del tercero interesado en el que da contestación a mi proyecto y dando las razones de por qué no lo comparte", detalló. Argum entó que el documento llevaba en proceso seis semanas, por lo que los quejosos y los acusados tuvieron tiempo suficiente para consultar el expediente y solicitar cuantas audiencias requirieran. Aseguró que los documentos tienen información sin testar, por lo que hay datos "sensibles". El Magistrado Reyes Rodríguez, quien votó en contra de quitar la candidatura a Cabeza de Vaca, dijo que el INE le entregó registro porque hay amparos y se debe privilegiar la presunción de inocencia.</w:t>
      </w:r>
    </w:p>
    <w:p>
      <w:hyperlink r:id="rId23" w:history="1">
        <w:r>
          <w:rPr>
            <w:color w:val="000DFF"/>
            <w:u w:val="single"/>
          </w:rPr>
          <w:t xml:space="preserve">El Universal</w:t>
        </w:r>
      </w:hyperlink>
    </w:p>
    <w:p>
      <w:hyperlink r:id="rId38" w:history="1">
        <w:r>
          <w:rPr>
            <w:color w:val="000DFF"/>
            <w:u w:val="single"/>
          </w:rPr>
          <w:t xml:space="preserve">Reforma</w:t>
        </w:r>
      </w:hyperlink>
    </w:p>
    <w:p>
      <w:hyperlink r:id="rId39" w:history="1">
        <w:r>
          <w:rPr>
            <w:color w:val="000DFF"/>
            <w:u w:val="single"/>
          </w:rPr>
          <w:t xml:space="preserve">El Heraldo de México</w:t>
        </w:r>
      </w:hyperlink>
    </w:p>
    <w:p>
      <w:pPr/>
      <w:r>
        <w:rPr>
          <w:rFonts w:ascii="Tahoma" w:hAnsi="Tahoma" w:eastAsia="Tahoma" w:cs="Tahoma"/>
          <w:color w:val="1B2232"/>
          <w:sz w:val="20"/>
          <w:szCs w:val="20"/>
          <w:b/>
          <w:bCs/>
        </w:rPr>
        <w:t xml:space="preserve">META DA DE BAJA CIENTOS DE CUENTAS POR DENUNCIA DE MORENA</w:t>
      </w:r>
    </w:p>
    <w:p>
      <w:pPr/>
      <w:r>
        <w:rPr/>
        <w:t xml:space="preserve">El presidente nacional de Morena, Mario Delgado, informó que Meta (titular de Facebook, Instagram y WhatsApp) eliminó cientos de cuentas que infringían las normas comunitarias de la plataforma, debido a una presunta campaña contra su abanderada presidencial, Claudia Sheinbaum Pardo. En un comunicado, dijo que esto fue resultado de la investigación llevada a cabo por la empresa en seguimiento a las denuncias y pruebas presentadas por el equipo de Morena el pasado 19 de marzo. Fue una reunión muy productiva, en la que pudimos constatar los resultados de las pruebas de guerra sucia que presentamos hace unas semanas, expresó el dirigente morenista. Tras una reunión de seguimiento, expuso que las páginas se dieron de baja por violaciones a las políticas de Meta. Estas cuentas se bajaron de la red social por presentarse a sí mismas de manera engañosa y por aumentar la popularidad del contenido por medios artificiales. Ojalá que se siente un buen precedente para impedir que sigan ocurriendo estas prácticas de manipulación durante el proceso electoral, sostuvo.</w:t>
      </w:r>
    </w:p>
    <w:p>
      <w:hyperlink r:id="rId40" w:history="1">
        <w:r>
          <w:rPr>
            <w:color w:val="000DFF"/>
            <w:u w:val="single"/>
          </w:rPr>
          <w:t xml:space="preserve">El Universal</w:t>
        </w:r>
      </w:hyperlink>
    </w:p>
    <w:p>
      <w:hyperlink r:id="rId41" w:history="1">
        <w:r>
          <w:rPr>
            <w:color w:val="000DFF"/>
            <w:u w:val="single"/>
          </w:rPr>
          <w:t xml:space="preserve">El Sol de México</w:t>
        </w:r>
      </w:hyperlink>
    </w:p>
    <w:p>
      <w:pPr/>
      <w:r>
        <w:rPr>
          <w:rFonts w:ascii="Tahoma" w:hAnsi="Tahoma" w:eastAsia="Tahoma" w:cs="Tahoma"/>
          <w:color w:val="1B2232"/>
          <w:sz w:val="20"/>
          <w:szCs w:val="20"/>
          <w:b/>
          <w:bCs/>
        </w:rPr>
        <w:t xml:space="preserve">SENADORES DEL PAN VAN TRAS ARTURO ZALDIVAR</w:t>
      </w:r>
    </w:p>
    <w:p>
      <w:pPr/>
      <w:r>
        <w:rPr/>
        <w:t xml:space="preserve">Senadores del PAN anunciaron que presentarán ante la Cámara de Diputados una solicitud de juicio político en contra del exministro Arturo Zaldívar, por las acusaciones de construir una red de extorsión e intimidación contra jueces y magistrados para beneficiar a la Presidencia de la República. En conferencia, la senadora Kenia López Rabadán subrayó que Zaldívar Lelo de Larrea antepuso los intereses del Presidente a los del pueblo de México en busca de impunidad. La investigación que está realizando el Consejo de la Judicatura Federal en su contra se debe a una denuncia legítima que muestra una red de coacción a jueces y magistrados, indicó. Acompañada por las senadoras Josefina Vázquez Mota, Alejandra Reynoso Sánchez, Adriana Jurado Valadez, Mayuli Latifa Martínez Simón, Estrella Rojas Loreto y Gina Andrea Cruz Blackledge, y el senador Juan Francisco Larios Esparza, López Rabadán afirmó que esta red de extorsión y de intimidación buscaba beneficiar al gobierno de López Obrador. El Presidente de la República dijo desde Palacio Nacional que Arturo Zaldívar le hacía el trabajo sucio cuando las resoluciones no le eran favorables.</w:t>
      </w:r>
    </w:p>
    <w:p>
      <w:hyperlink r:id="rId42" w:history="1">
        <w:r>
          <w:rPr>
            <w:color w:val="000DFF"/>
            <w:u w:val="single"/>
          </w:rPr>
          <w:t xml:space="preserve">El Universal</w:t>
        </w:r>
      </w:hyperlink>
    </w:p>
    <w:p>
      <w:pPr>
        <w:jc w:val="center"/>
        <w:spacing w:after="100"/>
      </w:pPr>
      <w:r>
        <w:rPr>
          <w:rFonts w:ascii="Tahoma" w:hAnsi="Tahoma" w:eastAsia="Tahoma" w:cs="Tahoma"/>
          <w:color w:val="1B2232"/>
          <w:sz w:val="28"/>
          <w:szCs w:val="28"/>
          <w:b/>
          <w:bCs/>
        </w:rPr>
        <w:t xml:space="preserve">ECONOMÍA</w:t>
      </w:r>
    </w:p>
    <w:p>
      <w:pPr/>
      <w:r>
        <w:rPr>
          <w:rFonts w:ascii="Tahoma" w:hAnsi="Tahoma" w:eastAsia="Tahoma" w:cs="Tahoma"/>
          <w:color w:val="1B2232"/>
          <w:sz w:val="20"/>
          <w:szCs w:val="20"/>
          <w:b/>
          <w:bCs/>
        </w:rPr>
        <w:t xml:space="preserve">RECURSOS FEDERALES TIENEN BAJO IMPACTO CONTRA LA POBREZA</w:t>
      </w:r>
    </w:p>
    <w:p>
      <w:pPr/>
      <w:r>
        <w:rPr/>
        <w:t xml:space="preserve">Los estados con altos niveles de pobreza, en los cuales es más complicado que la población supere esa condición, reciben menos recursos del gobierno que los más desarrollados, lo que hace necesaria una reforma a la forma en que se reparten las participaciones y contribuciones para reducir esa desigualdad, dijeron especialistas. Se requiere de un esquema que asigne más recursos a los estados que están en mayor desventaja, para así reducir las diferencias en la movilidad social ascendente ?la posibilidad de mejorar su posición socioeconómica?, afirmó Rodolfo de la Torre, director de movilidad social del CEEY. Y es que se estima que sólo una de cada cuatro personas en pobreza supera esa condición en el país. Las entidades que menor movilidad social reportan son las más pobres, ubicadas en la región sureste, con tasa de 65% de la población pobre que no asciende económicamente. Al mismo tiempo, son los estados que reciben la menor proporción de participaciones federales, con monto promedio de 8.4 mil pesos por habitante en 2023.</w:t>
      </w:r>
    </w:p>
    <w:p>
      <w:hyperlink r:id="rId43" w:history="1">
        <w:r>
          <w:rPr>
            <w:color w:val="000DFF"/>
            <w:u w:val="single"/>
          </w:rPr>
          <w:t xml:space="preserve">El Universal</w:t>
        </w:r>
      </w:hyperlink>
    </w:p>
    <w:p>
      <w:pPr/>
      <w:r>
        <w:rPr>
          <w:rFonts w:ascii="Tahoma" w:hAnsi="Tahoma" w:eastAsia="Tahoma" w:cs="Tahoma"/>
          <w:color w:val="1B2232"/>
          <w:sz w:val="20"/>
          <w:szCs w:val="20"/>
          <w:b/>
          <w:bCs/>
        </w:rPr>
        <w:t xml:space="preserve">FMI URGE A GOBIERNOS A CONTROLAR GASTO EN AÑO ELECTORAL GLOBAL</w:t>
      </w:r>
    </w:p>
    <w:p>
      <w:pPr/>
      <w:r>
        <w:rPr/>
        <w:t xml:space="preserve">El Fondo Monetario Internacional (FMI) llamó este miércoles a los gobiernos a controlar el gasto público para preservar la solidez de las finanzas ya no seguir una tendencia que suele producirse en los años electorales: gastar más y gravar menos. "La historia y la evidencia empírica muestran que los gobiernos tienden a gastar más y gravar menos durante los años electorales" y 2024 es un año "particularmente desafiante", con decenas de comicios que afectan a más de la mitad de la población mundial, explicó en entrevista el director del Departamento de Asuntos Presupuestarios del fondo, Vítor Gaspar. El FMI publicó ayer los últimos datos de su monitor fiscal y calculó que en 2024 volverá a haber un ajuste fiscal y el déficit mundial cerrará el año en 4.9% del PIB, frente a 53% que registró al cierre de 2023. Sin embargo, se espera que la consolidación fiscal a mediano plazo siga siendo modesta, y se proyecta que el déficit general se estabilice en 4.3% del PIB para 2029, alrededor de 0.7 puntos porcentuales más que en 2019.</w:t>
      </w:r>
    </w:p>
    <w:p>
      <w:hyperlink r:id="rId43" w:history="1">
        <w:r>
          <w:rPr>
            <w:color w:val="000DFF"/>
            <w:u w:val="single"/>
          </w:rPr>
          <w:t xml:space="preserve">El Universal</w:t>
        </w:r>
      </w:hyperlink>
    </w:p>
    <w:p>
      <w:hyperlink r:id="rId44" w:history="1">
        <w:r>
          <w:rPr>
            <w:color w:val="000DFF"/>
            <w:u w:val="single"/>
          </w:rPr>
          <w:t xml:space="preserve">El Financiero</w:t>
        </w:r>
      </w:hyperlink>
    </w:p>
    <w:p>
      <w:pPr/>
      <w:r>
        <w:rPr>
          <w:rFonts w:ascii="Tahoma" w:hAnsi="Tahoma" w:eastAsia="Tahoma" w:cs="Tahoma"/>
          <w:color w:val="1B2232"/>
          <w:sz w:val="20"/>
          <w:szCs w:val="20"/>
          <w:b/>
          <w:bCs/>
        </w:rPr>
        <w:t xml:space="preserve">LA ABM CONVOCA A UN ACUERDO NACIONAL POR LAS MIPYMES</w:t>
      </w:r>
    </w:p>
    <w:p>
      <w:pPr/>
      <w:r>
        <w:rPr/>
        <w:t xml:space="preserve">El presidente de la Asociación de Bancos de México (ABM), Julio Carranza, dijo que la inminente reducción de tasas de interés por parte del Banco de México (Banxico) favorecerá una mayor colocación de crédito en el país, impulsando el consumo y la actividad de las empresas. "Cuando las tasas bajan ayudan a la gente, a los préstamos personales, a las tarjetas de crédito y a los créditos de las empresas, pues están en tasa variable. Cuando la tasa de interés empieza a bajar, inmediatamente vamos a empezar a ver una situación más tranquila para las empresas y se pueden animar a invertir más. Si con las tasas altas hemos logrado mantener un consumo por encima de 18%, pues yo pensaría que con tasas más bajas el consumo debe continuar fortaleciéndose", indicó. En entrevista previa a la edición 87 de la Convención Bancaria que comienza hoy, Carranza urgió a un acuerdo nacional entre la banca, empresas y gobierno para favorecer a las Micro, Pequeñas y Medianas empresas (MiPymes), en el que el Servicio de Administración Tributaria (SAT) les otorgue mayores facilidades en el pago de impuestos, al no cobrarlos de manera inmediata y que se involucre a la banca de desarrollo.</w:t>
      </w:r>
    </w:p>
    <w:p>
      <w:hyperlink r:id="rId45" w:history="1">
        <w:r>
          <w:rPr>
            <w:color w:val="000DFF"/>
            <w:u w:val="single"/>
          </w:rPr>
          <w:t xml:space="preserve">El Universal</w:t>
        </w:r>
      </w:hyperlink>
    </w:p>
    <w:p>
      <w:pPr/>
      <w:r>
        <w:rPr>
          <w:rFonts w:ascii="Tahoma" w:hAnsi="Tahoma" w:eastAsia="Tahoma" w:cs="Tahoma"/>
          <w:color w:val="1B2232"/>
          <w:sz w:val="20"/>
          <w:szCs w:val="20"/>
          <w:b/>
          <w:bCs/>
        </w:rPr>
        <w:t xml:space="preserve">LA INFLACIÓN SE ESTANCARÁ, PROYECTA LA FED</w:t>
      </w:r>
    </w:p>
    <w:p>
      <w:pPr/>
      <w:r>
        <w:rPr/>
        <w:t xml:space="preserve">La Reserva Federal (Fed) estadounidense previo ayer que la inflación seguirá estable sin cambios en el futuro, lo que refuerza la previsión ?materializada en las últimas semanas por datos económicos de Estados Unidos? de que la bajada de tasas de interés llevará más tiempo de lo previsto. La organización apuntó en su Libro Beige que el aumento de precios ha sido de media modesto, al mismo ritmo casi que el registrado en su último informe, de inicios de marzo. "Las perturbaciones en el Mar Rojo y el colapso del puente (Francis Scott) Key provocaron retrasos en los envíos, pero hasta ahora no han conllevado un aumento generalizado de los precios", dijo ese documento. El Libro Beige es una publicación del regulador estadounidense en la que se analizan las condiciones económicas actuales de los 12 distritos en los que la Fed divide el país, con base en información cualitativa recogida por cada reserva. La conclusión entre sus miembros fue que se espera que la inflación siga estable. Algunos integrantes en distritos manufactureros, no obstante, percibieron un riesgo al alza a corto plaza.</w:t>
      </w:r>
    </w:p>
    <w:p>
      <w:hyperlink r:id="rId45" w:history="1">
        <w:r>
          <w:rPr>
            <w:color w:val="000DFF"/>
            <w:u w:val="single"/>
          </w:rPr>
          <w:t xml:space="preserve">El Universal</w:t>
        </w:r>
      </w:hyperlink>
    </w:p>
    <w:p>
      <w:pPr/>
      <w:r>
        <w:rPr>
          <w:rFonts w:ascii="Tahoma" w:hAnsi="Tahoma" w:eastAsia="Tahoma" w:cs="Tahoma"/>
          <w:color w:val="1B2232"/>
          <w:sz w:val="20"/>
          <w:szCs w:val="20"/>
          <w:b/>
          <w:bCs/>
        </w:rPr>
        <w:t xml:space="preserve">PREVÉN DESACELERE ACTIVIDAD INDUSTRIAL</w:t>
      </w:r>
    </w:p>
    <w:p>
      <w:pPr/>
      <w:r>
        <w:rPr/>
        <w:t xml:space="preserve">En el segundo semestre de este año, la actividad industrial del País perderá impulso, previeron especialistas consultados. De acuerdo con Ve Por Más, esto ocurrirá porque para entonces se habrán concluido las grandes obras públicas del Gobierno federal sin contar que también las altas tasas de interés frenarán la actividad. La conclusión de obras públicas y la expectativa de un consumo resiliente, por bajo desempleo y el adelanto de apoyos de programas sociales, ayudarán a que en el primer semestre la inversión en construcción y la producción de bienes se mantengan, lo que a su vez dará estabilidad a la actividad industrial, mencionó en un análisis Alejandro Saldaba, economista en jefe de Ve Por Más. Sin embargo, para la segunda mitad del año, el panorama será distinto, ya que la previsión es que se pierda el impulso asociado a la inversión pública, mientras que la inversión privada seguirá lidiando con altas tasas de interés, aunque se reduzcan moderadamente.</w:t>
      </w:r>
    </w:p>
    <w:p>
      <w:hyperlink r:id="rId46" w:history="1">
        <w:r>
          <w:rPr>
            <w:color w:val="000DFF"/>
            <w:u w:val="single"/>
          </w:rPr>
          <w:t xml:space="preserve">Reforma</w:t>
        </w:r>
      </w:hyperlink>
    </w:p>
    <w:p>
      <w:pPr/>
      <w:r>
        <w:rPr>
          <w:rFonts w:ascii="Tahoma" w:hAnsi="Tahoma" w:eastAsia="Tahoma" w:cs="Tahoma"/>
          <w:color w:val="1B2232"/>
          <w:sz w:val="20"/>
          <w:szCs w:val="20"/>
          <w:b/>
          <w:bCs/>
        </w:rPr>
        <w:t xml:space="preserve">BANCA COMERCIAL, CON RENTABILIDAD HISTÓRICA</w:t>
      </w:r>
    </w:p>
    <w:p>
      <w:pPr/>
      <w:r>
        <w:rPr/>
        <w:t xml:space="preserve">Al cierre de diciembre de 2023, el sector de la banca múltiple en México mostró utilidades y niveles de rentabilidad en máximos históricos con un incremento en el resultado neto de 14.7% respecto al ejercicio anterior, con lo que acumuló 273.3 miles de millones de pesos. De acuerdo con el más reciente análisis del sector bancario elaborado por la calificadora HR Ratings, este comportamiento se vio impulsado por la normalización de las actividades económicas después del fin de las medidas de confinamiento, lo que ocasionó una mayor actividad crediticia, un alza en el empleo y en el consumo de la población, así como un entorno de altas tasas de interés por la política monetaria restrictiva aplicable en México. Además, el sector mantiene niveles de solvencia en niveles sólidos, con un Índice de Capitalización de 18.8% en diciembre de 2023, el cual es superior al mínimo requerido de 10.5%, lo que refleja la capacidad del sector para enfrentar escenarios de pérdidas no esperadas.</w:t>
      </w:r>
    </w:p>
    <w:p>
      <w:hyperlink r:id="rId47" w:history="1">
        <w:r>
          <w:rPr>
            <w:color w:val="000DFF"/>
            <w:u w:val="single"/>
          </w:rPr>
          <w:t xml:space="preserve">Excélsior</w:t>
        </w:r>
      </w:hyperlink>
    </w:p>
    <w:p>
      <w:pPr>
        <w:jc w:val="center"/>
        <w:spacing w:after="100"/>
      </w:pPr>
      <w:r>
        <w:rPr>
          <w:rFonts w:ascii="Tahoma" w:hAnsi="Tahoma" w:eastAsia="Tahoma" w:cs="Tahoma"/>
          <w:color w:val="1B2232"/>
          <w:sz w:val="28"/>
          <w:szCs w:val="28"/>
          <w:b/>
          <w:bCs/>
        </w:rPr>
        <w:t xml:space="preserve">SEGURIDAD</w:t>
      </w:r>
    </w:p>
    <w:p>
      <w:pPr/>
      <w:r>
        <w:rPr>
          <w:rFonts w:ascii="Tahoma" w:hAnsi="Tahoma" w:eastAsia="Tahoma" w:cs="Tahoma"/>
          <w:color w:val="1B2232"/>
          <w:sz w:val="20"/>
          <w:szCs w:val="20"/>
          <w:b/>
          <w:bCs/>
        </w:rPr>
        <w:t xml:space="preserve">VINCULAN A CANDIDATO DE MC CON LÍDER DE GUIPO CRIMINAL</w:t>
      </w:r>
    </w:p>
    <w:p>
      <w:pPr/>
      <w:r>
        <w:rPr/>
        <w:t xml:space="preserve">Mauro Yuriel Jáuregui Muñoz, candidato de Movimiento Ciudadano a la alcaldía de Apulco, Zacatecas, y el líder del Cártel Jalisco Nueva Generación (CJNG) en esa zona, Gerardo González Ramírez El Gera y/o El Apa, condicionaron a un elemento de la policía estatal para que "trabaje con ellos" a cambio de liberarle a sus familiares secuestrados por ese grupo criminal. Desde el mes de junio del año pasado, el padre y el hijo del elemento fueron privados de su libertad por esa organización criminal. El oficial, junto a otros más, huyó de ese municipio ubicado en el vértice que hacen los estados de Zacatecas, Jalisco y Aguascalientes, por temor a ser asesinado. El policía estatal ?de quien se reserva su identidad por seguridad?, se refugió con integrantes de su familia en uno de los estados colindantes. Fuentes federales de seguridad revelaron que con base en información que tienen en su poder, el grupo criminal quiere reclutar a policías y profesionistas queridos por el pueblo, para que su candidato (Jáuregui) llegue "limpio" a la presidencia municipal.</w:t>
      </w:r>
    </w:p>
    <w:p>
      <w:hyperlink r:id="rId48" w:history="1">
        <w:r>
          <w:rPr>
            <w:color w:val="000DFF"/>
            <w:u w:val="single"/>
          </w:rPr>
          <w:t xml:space="preserve">El Universal</w:t>
        </w:r>
      </w:hyperlink>
    </w:p>
    <w:p>
      <w:pPr/>
      <w:r>
        <w:rPr>
          <w:rFonts w:ascii="Tahoma" w:hAnsi="Tahoma" w:eastAsia="Tahoma" w:cs="Tahoma"/>
          <w:color w:val="1B2232"/>
          <w:sz w:val="20"/>
          <w:szCs w:val="20"/>
          <w:b/>
          <w:bCs/>
        </w:rPr>
        <w:t xml:space="preserve">VAN POR MAQUINARIA PESADA PARA BUSCAR DESAPARECIDOS</w:t>
      </w:r>
    </w:p>
    <w:p>
      <w:pPr/>
      <w:r>
        <w:rPr/>
        <w:t xml:space="preserve">A poco más de cinco meses de que termine este sexenio, la Comisión Nacional de Búsqueda (CNB) lanzó una licitación para el servicio integral de uso de maquinaria pesada para ayudar en las acciones de búsqueda en campo de personas no localizadas en todo el país y por el que podría pagar hasta casi 100 millones de pesos. En la licitación E-2024- 00030693, cuya copia posee EL UNIVERSAL, se indica que para este servicio se necesitarán martillos demoledores, retroexcavadoras, excavadoras, máquinas para romper concretos, motobombas sumergibles, grúas que puedan levantar estructuras y detectores de metal, entre otra maquinaria. Se detalla que el monto económico disponible para este servicio tendrá como mínimo de 38 millones de pesos hasta un máximo de 95 millones de pesos y su vigencia será a partir de finales de abril hasta el 31 de diciembre de este año. "El servicio integral de uso de maquinaria para el desarrollo de acciones de búsqueda en campo consiste en el uso de maquinaria que favorezca las acciones de búsqueda de personas, facilitando la identificación de personas desaparecidas".</w:t>
      </w:r>
    </w:p>
    <w:p>
      <w:hyperlink r:id="rId49" w:history="1">
        <w:r>
          <w:rPr>
            <w:color w:val="000DFF"/>
            <w:u w:val="single"/>
          </w:rPr>
          <w:t xml:space="preserve">El Universal</w:t>
        </w:r>
      </w:hyperlink>
    </w:p>
    <w:p>
      <w:pPr/>
      <w:r>
        <w:rPr>
          <w:rFonts w:ascii="Tahoma" w:hAnsi="Tahoma" w:eastAsia="Tahoma" w:cs="Tahoma"/>
          <w:color w:val="1B2232"/>
          <w:sz w:val="20"/>
          <w:szCs w:val="20"/>
          <w:b/>
          <w:bCs/>
        </w:rPr>
        <w:t xml:space="preserve">ARRANCAN JORNADA NACIONAL PARA ENCONTRAR A SUS SERES QUERIDOS</w:t>
      </w:r>
    </w:p>
    <w:p>
      <w:pPr/>
      <w:r>
        <w:rPr/>
        <w:t xml:space="preserve">A partir de este jueves y hasta el próximo sábado, familiares que congregan 250 colectivos iniciarán la Jornada Nacional de Búsqueda en 18 estados del país, sin el acompañamiento de ninguna autoridad de los gobiernos federal o estatales. "Hay una deuda enorme con las familias buscadoras, desde el inicio el actual gobierno desistió de tener reuniones de forma directa con las familias, es un tema que no adolece a la actual administración, lo vemos con tristeza," aseguró Juan Carlos Trujillo, de la Red de Enlaces Nacionales. Además, la actual administración no tiene la capacidad para responder y llevar a cabo una búsqueda, explicó. La organización civil Data Cívica presentó la plataforma Volver a Desaparecer, en la cual hizo una comparación con el Registro Nacional de Personas Desaparecidas y No Localizadas y la plataforma más reciente de Búsqueda Generalizada, e identificó que 10 mil 953 nombres de personas fueron borrados.</w:t>
      </w:r>
    </w:p>
    <w:p>
      <w:hyperlink r:id="rId49" w:history="1">
        <w:r>
          <w:rPr>
            <w:color w:val="000DFF"/>
            <w:u w:val="single"/>
          </w:rPr>
          <w:t xml:space="preserve">El Universal</w:t>
        </w:r>
      </w:hyperlink>
    </w:p>
    <w:p>
      <w:pPr/>
      <w:r>
        <w:rPr>
          <w:rFonts w:ascii="Tahoma" w:hAnsi="Tahoma" w:eastAsia="Tahoma" w:cs="Tahoma"/>
          <w:color w:val="1B2232"/>
          <w:sz w:val="20"/>
          <w:szCs w:val="20"/>
          <w:b/>
          <w:bCs/>
        </w:rPr>
        <w:t xml:space="preserve">ASALTAN A MAESTROS DE 7 COMUNIDADES</w:t>
      </w:r>
    </w:p>
    <w:p>
      <w:pPr/>
      <w:r>
        <w:rPr/>
        <w:t xml:space="preserve">La Sección 14 del Sindicato Nacional de Trabajadores de la Educación (SNTE) exigió al Gobierno de Guerrero garantizar la seguridad a los profesores del municipio de Cónica de Benítez. Encabezada por Silvano Palacios, la dirigencia estatal reprobó el asalto de un grupo de 40 hombres armados en la comunidad Las Lomitas. "Reprobamos de manera contundente los hechos violentos del que fueron víctimas compañeras y compañeros trabajadores de tres escuelas de educación básica de la comunidad de Las Lomitas, municipio de Coyuca de Benítez", indicó. De acuerdo con el Sindicato, el personal docente que fue violentado por el grupo armado labora en la escuela primaria "Francisco I. Madero", la Telesecundaria "Juan Ruiz de Alarcón" y el jardín de niños "Juana de Asbaje". "Se hace un llamado a las autoridades del estado (a la Gobernadora Evelyn Salgado) de brindar mayor seguridad a las escuelas, a sus trabajadores, al alumnado y a los padres de familia diseñando una estrategia integral para su seguridad", exigió en un pronunciamiento.</w:t>
      </w:r>
    </w:p>
    <w:p>
      <w:hyperlink r:id="rId50" w:history="1">
        <w:r>
          <w:rPr>
            <w:color w:val="000DFF"/>
            <w:u w:val="single"/>
          </w:rPr>
          <w:t xml:space="preserve">Reforma</w:t>
        </w:r>
      </w:hyperlink>
    </w:p>
    <w:p>
      <w:hyperlink r:id="rId51" w:history="1">
        <w:r>
          <w:rPr>
            <w:color w:val="000DFF"/>
            <w:u w:val="single"/>
          </w:rPr>
          <w:t xml:space="preserve">Excélsior</w:t>
        </w:r>
      </w:hyperlink>
    </w:p>
    <w:p>
      <w:pPr/>
      <w:r>
        <w:rPr>
          <w:rFonts w:ascii="Tahoma" w:hAnsi="Tahoma" w:eastAsia="Tahoma" w:cs="Tahoma"/>
          <w:color w:val="1B2232"/>
          <w:sz w:val="20"/>
          <w:szCs w:val="20"/>
          <w:b/>
          <w:bCs/>
        </w:rPr>
        <w:t xml:space="preserve">ATACAN EN DOS LOCALIDADES A FUERZAS DE SEGURIDAD</w:t>
      </w:r>
    </w:p>
    <w:p>
      <w:pPr/>
      <w:r>
        <w:rPr/>
        <w:t xml:space="preserve">La entidad amaneció ayer entre diversos hechos violentos que incluyeron ataques armados contra fuerzas de seguridad en dos municipios, el hallazgo de dos cuerpos y el incendio de tráileres en dos puntos carreteros; se investiga si los hechos están relacionados o no. La vocería de la Mesa Estatal de Paz y Seguridad informó que el primer acto violento ocurrió "durante el operativo de vigilante nocturno llevado a cabo en Jerez", cuando se registró la agresión en contra de la policía de dicho municipio. Entre los heridos se encuentra el jefe policiaco de Jerez, que pertenece a las filas de la policía estatal, de la Secretaría de Seguridad Pública de Zacatecas. Las autoridades señalaron que tanto el director de la policía municipal como uno de los elementos recibían ayer atención médica y eran reportados como estables. El tercer elemento herido sólo recibió "un rozón [de bala] que no ameritó hospitalización" y se reincorporó a su servicio cotidiano.</w:t>
      </w:r>
    </w:p>
    <w:p>
      <w:hyperlink r:id="rId52" w:history="1">
        <w:r>
          <w:rPr>
            <w:color w:val="000DFF"/>
            <w:u w:val="single"/>
          </w:rPr>
          <w:t xml:space="preserve">El Universal</w:t>
        </w:r>
      </w:hyperlink>
    </w:p>
    <w:p>
      <w:pPr/>
      <w:r>
        <w:rPr>
          <w:rFonts w:ascii="Tahoma" w:hAnsi="Tahoma" w:eastAsia="Tahoma" w:cs="Tahoma"/>
          <w:color w:val="1B2232"/>
          <w:sz w:val="20"/>
          <w:szCs w:val="20"/>
          <w:b/>
          <w:bCs/>
        </w:rPr>
        <w:t xml:space="preserve">ASESINAN AL LÍDER CAÑERO JOSÉ LIVIO PONS ECHEVERRÍA</w:t>
      </w:r>
    </w:p>
    <w:p>
      <w:pPr/>
      <w:r>
        <w:rPr/>
        <w:t xml:space="preserve">Miércoles negro vivió Tabasco ayer al ser asesinado el líder cañero, José Livio Pons Echeverría, en el municipio de Cárdenas, además de ocho delincuentes que murieron en un enfrentamiento con elementos de la Guardia Nacional en Jalapa. Las autoridades estatales confirmaron el deceso de José Livio Pons Echeverría, líder de la Unión Local de Productores de Caña de Azúcar del Ingenio Santa Rosalía, quien fue encontrado en un predio del poblado C-29. De acuerdo con los reportes policiacos, el cuerpo estaba en una camioneta pick-up color gris doble cabina de su propiedad, en un camino de terracería que atraviesa un sembradío de caña. Aunque hay versiones de que falleció de un infarto, trascendió que fue asesinado. Pons Echeverría, apenas hace unos días participó en un diálogo con sectores productivos que encabezó el candidato a la gubernatura de la coalición Sigamos Haciendo Historia en Tabasco, Javier May Rodríguez; era un impulsor no sólo del campo, también del deporte.</w:t>
      </w:r>
    </w:p>
    <w:p>
      <w:hyperlink r:id="rId53" w:history="1">
        <w:r>
          <w:rPr>
            <w:color w:val="000DFF"/>
            <w:u w:val="single"/>
          </w:rPr>
          <w:t xml:space="preserve">El Universal</w:t>
        </w:r>
      </w:hyperlink>
    </w:p>
    <w:p>
      <w:hyperlink r:id="rId36" w:history="1">
        <w:r>
          <w:rPr>
            <w:color w:val="000DFF"/>
            <w:u w:val="single"/>
          </w:rPr>
          <w:t xml:space="preserve">Reforma</w:t>
        </w:r>
      </w:hyperlink>
    </w:p>
    <w:p>
      <w:hyperlink r:id="rId54" w:history="1">
        <w:r>
          <w:rPr>
            <w:color w:val="000DFF"/>
            <w:u w:val="single"/>
          </w:rPr>
          <w:t xml:space="preserve">Excélsior</w:t>
        </w:r>
      </w:hyperlink>
    </w:p>
    <w:p>
      <w:pPr/>
      <w:r>
        <w:rPr>
          <w:rFonts w:ascii="Tahoma" w:hAnsi="Tahoma" w:eastAsia="Tahoma" w:cs="Tahoma"/>
          <w:color w:val="1B2232"/>
          <w:sz w:val="20"/>
          <w:szCs w:val="20"/>
          <w:b/>
          <w:bCs/>
        </w:rPr>
        <w:t xml:space="preserve">BALACERA DEJA CUATRO MUERTOS EN CALLES DE TLÁHUAC</w:t>
      </w:r>
    </w:p>
    <w:p>
      <w:pPr/>
      <w:r>
        <w:rPr/>
        <w:t xml:space="preserve">Una balacera dejó cuatro personas muertas en calles de la alcaldía Tláhuac; autoridades investigan una agresión directa. Los hechos se registraron en el cruce de las calles Josefa Ortiz de Domínguez y 20 de Noviembre. Cuatro hombres se encontraban en la banqueta dialogando cuando fueron alcanzados por dos sujetos en una motocicleta y dispararon contra ellos en varias ocasiones, para emprender la huida con rumbo desconocido. A través de la frecuencia de radio, los uniformados fueron alertados de un reporte de disparos en la vía pública, en la colonia San Miguel. Paramédicos que arribaron al sitio diagnosticaron a las cuatro personas sin signos vitales por heridas de arma de fuego, acordonaron la zona y dieron parte a las autoridades ministeriales para los servicios periciales correspondientes. La zona fue acordonada por elementos de la Secretaría de Seguridad Ciudadana (SSC), mientras que peritos de la Fiscalía General de Justicia (FGJ) de la Ciudad de México trasladaron los cuerpos al Ministerio Público local, donde continuarán las investigaciones. La fiscalía inició una carpeta de investigación por el delito de homicidio doloso.</w:t>
      </w:r>
    </w:p>
    <w:p>
      <w:hyperlink r:id="rId55" w:history="1">
        <w:r>
          <w:rPr>
            <w:color w:val="000DFF"/>
            <w:u w:val="single"/>
          </w:rPr>
          <w:t xml:space="preserve">El Universal</w:t>
        </w:r>
      </w:hyperlink>
    </w:p>
    <w:p>
      <w:hyperlink r:id="rId56"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INTERNACIONAL</w:t>
      </w:r>
    </w:p>
    <w:p>
      <w:pPr/>
      <w:r>
        <w:rPr>
          <w:rFonts w:ascii="Tahoma" w:hAnsi="Tahoma" w:eastAsia="Tahoma" w:cs="Tahoma"/>
          <w:color w:val="1B2232"/>
          <w:sz w:val="20"/>
          <w:szCs w:val="20"/>
          <w:b/>
          <w:bCs/>
        </w:rPr>
        <w:t xml:space="preserve">DESESTIMA SENADO CARGOS DE MAYORKAS </w:t>
      </w:r>
    </w:p>
    <w:p>
      <w:pPr/>
      <w:r>
        <w:rPr/>
        <w:t xml:space="preserve">El Senado de Estados Unidos desestimó ayer el caso de destitución contra el Secretario de Seguridad Nacional, Alejandro Mayorkas, antes de que comenzara su juicio por dos cargos que lo acusaban de no aplicar- las leyes migratorias y de violar la confianza pública. Por 51 votos a favor, 48 en contra y una legisladora que votó "presente", la Cámara Alta dictaminó que la primera acusación era inconstitucional porque no cumplía las características de un delito o falta grave. Los republicanos rechazaron ese argumento, excepto la senadora Lisa Murkowski, de Alaska, quien votó "presente", mientras que la mayoría demócrata en el Senado se inclinó unánimemente a favor Murkowski respaldó a su partido para oponerse a la desestimación del segundo cargo por los mismos motivos, pero de nuevo la mayoría demócrata fue suficiente para imponerse en la votación (51-49). Chuck Schumer, líder de los demócratas en la Cámara Alta, solicitó la desestimación de cada cargo bajo el argumento de que un miembro del Gabinete no puede ser procesado y destituido por llevar a cabo las políticas del Gobierno al que pertenece.</w:t>
      </w:r>
    </w:p>
    <w:p>
      <w:hyperlink r:id="rId57" w:history="1">
        <w:r>
          <w:rPr>
            <w:color w:val="000DFF"/>
            <w:u w:val="single"/>
          </w:rPr>
          <w:t xml:space="preserve">El Universal</w:t>
        </w:r>
      </w:hyperlink>
    </w:p>
    <w:p>
      <w:hyperlink r:id="rId58" w:history="1">
        <w:r>
          <w:rPr>
            <w:color w:val="000DFF"/>
            <w:u w:val="single"/>
          </w:rPr>
          <w:t xml:space="preserve">Reforma</w:t>
        </w:r>
      </w:hyperlink>
    </w:p>
    <w:sectPr>
      <w:headerReference w:type="default" r:id="rId59"/>
      <w:headerReference w:type="default" r:id="rId60"/>
      <w:pgSz w:orient="portrait" w:w="11905.511811024" w:h="16837.795275591"/>
      <w:pgMar w:top="1440" w:right="1440" w:bottom="1440" w:left="144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right"/>
    </w:pPr>
    <w:r>
      <w:rPr>
        <w:rFonts w:ascii="Tahoma" w:hAnsi="Tahoma" w:eastAsia="Tahoma" w:cs="Tahoma"/>
        <w:color w:val="000000"/>
        <w:sz w:val="24"/>
        <w:szCs w:val="24"/>
        <w:b/>
        <w:bCs/>
      </w:rPr>
      <w:t xml:space="preserve">06-12-2025</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hyperlink" Target="http://www.gaimpresos.com/Periodicos/El%20Universal/2024-04-18/A_10.pdf" TargetMode="External"/><Relationship Id="rId8" Type="http://schemas.openxmlformats.org/officeDocument/2006/relationships/hyperlink" Target="http://www.gaimpresos.com/Periodicos/El%20Reforma/2024-04-18/A_2.pdf" TargetMode="External"/><Relationship Id="rId9" Type="http://schemas.openxmlformats.org/officeDocument/2006/relationships/hyperlink" Target="http://www.gaimpresos.com/Periodicos/El%20milenio%20Nacional/2024-04-18/A_6.pdf" TargetMode="External"/><Relationship Id="rId10" Type="http://schemas.openxmlformats.org/officeDocument/2006/relationships/hyperlink" Target="http://www.gaimpresos.com/Periodicos/La%20Jornada%20De%20Mexico/2024-04-18/A_1.pdf" TargetMode="External"/><Relationship Id="rId11" Type="http://schemas.openxmlformats.org/officeDocument/2006/relationships/hyperlink" Target="http://www.gaimpresos.com/Periodicos/Excelsior/2024-04-18/A_1.pdf" TargetMode="External"/><Relationship Id="rId12" Type="http://schemas.openxmlformats.org/officeDocument/2006/relationships/hyperlink" Target="http://www.gaimpresos.com/Periodicos/el%20sol%20de%20mexico/2024-04-18/A_12.pdf" TargetMode="External"/><Relationship Id="rId13" Type="http://schemas.openxmlformats.org/officeDocument/2006/relationships/hyperlink" Target="http://www.gaimpresos.com/Periodicos/Veinticuatro%20Horas/2024-04-18/1_A.pdf" TargetMode="External"/><Relationship Id="rId14" Type="http://schemas.openxmlformats.org/officeDocument/2006/relationships/hyperlink" Target="http://www.gaimpresos.com/Periodicos/Veinticuatro%20Horas/2024-04-18/3_A.pdf" TargetMode="External"/><Relationship Id="rId15" Type="http://schemas.openxmlformats.org/officeDocument/2006/relationships/hyperlink" Target="http://www.gaimpresos.com/Periodicos/Financiero/2024-04-18/A_34.pdf" TargetMode="External"/><Relationship Id="rId16" Type="http://schemas.openxmlformats.org/officeDocument/2006/relationships/hyperlink" Target="http://www.gaimpresos.com/Periodicos/La%20cronica/2024-04-18/A_1.pdf" TargetMode="External"/><Relationship Id="rId17" Type="http://schemas.openxmlformats.org/officeDocument/2006/relationships/hyperlink" Target="http://www.gaimpresos.com/Periodicos/El%20Economista/2024-04-18/A_11.pdf" TargetMode="External"/><Relationship Id="rId18" Type="http://schemas.openxmlformats.org/officeDocument/2006/relationships/hyperlink" Target="http://www.gaimpresos.com/Periodicos/Diario%20de%20Mexico/2024-04-18/A_1.pdf" TargetMode="External"/><Relationship Id="rId19" Type="http://schemas.openxmlformats.org/officeDocument/2006/relationships/hyperlink" Target="http://www.gaimpresos.com/Periodicos/Uno%20Mas%20Uno/2024-04-18/A_10.pdf" TargetMode="External"/><Relationship Id="rId20" Type="http://schemas.openxmlformats.org/officeDocument/2006/relationships/hyperlink" Target="http://www.gaimpresos.com/Periodicos/la%20prensa/2024-04-18/A_15.pdf" TargetMode="External"/><Relationship Id="rId21" Type="http://schemas.openxmlformats.org/officeDocument/2006/relationships/hyperlink" Target="http://www.gaimpresos.com/Periodicos/El%20Dia/2024-04-18/A_1.pdf" TargetMode="External"/><Relationship Id="rId22" Type="http://schemas.openxmlformats.org/officeDocument/2006/relationships/hyperlink" Target="http://www.gaimpresos.com/Periodicos/El%20independiente/2024-04-18/A_12.pdf" TargetMode="External"/><Relationship Id="rId23" Type="http://schemas.openxmlformats.org/officeDocument/2006/relationships/hyperlink" Target="http://www.gaimpresos.com/Periodicos/El%20Universal/2024-04-18/A_4.pdf" TargetMode="External"/><Relationship Id="rId24" Type="http://schemas.openxmlformats.org/officeDocument/2006/relationships/hyperlink" Target="http://www.gaimpresos.com/Periodicos/El%20Reforma/2024-04-18/A_12.pdf" TargetMode="External"/><Relationship Id="rId25" Type="http://schemas.openxmlformats.org/officeDocument/2006/relationships/hyperlink" Target="http://www.gaimpresos.com/Periodicos/La%20Jornada%20De%20Mexico/2024-04-18/A_6.pdf" TargetMode="External"/><Relationship Id="rId26" Type="http://schemas.openxmlformats.org/officeDocument/2006/relationships/hyperlink" Target="http://www.gaimpresos.com/Periodicos/El%20Reforma/2024-04-18/A_13.pdf" TargetMode="External"/><Relationship Id="rId27" Type="http://schemas.openxmlformats.org/officeDocument/2006/relationships/hyperlink" Target="http://www.gaimpresos.com/Periodicos/El%20Universal/2024-04-18/A_13.pdf" TargetMode="External"/><Relationship Id="rId28" Type="http://schemas.openxmlformats.org/officeDocument/2006/relationships/hyperlink" Target="http://www.gaimpresos.com/Periodicos/El%20Reforma/2024-04-18/A_1.pdf" TargetMode="External"/><Relationship Id="rId29" Type="http://schemas.openxmlformats.org/officeDocument/2006/relationships/hyperlink" Target="http://www.gaimpresos.com/Periodicos/Uno%20Mas%20Uno/2024-04-18/A_1.pdf" TargetMode="External"/><Relationship Id="rId30" Type="http://schemas.openxmlformats.org/officeDocument/2006/relationships/hyperlink" Target="http://www.gaimpresos.com/Periodicos/El%20Reforma/2024-04-18/A_14.pdf" TargetMode="External"/><Relationship Id="rId31" Type="http://schemas.openxmlformats.org/officeDocument/2006/relationships/hyperlink" Target="http://www.gaimpresos.com/Periodicos/El%20Universal/2024-04-18/A_20.pdf" TargetMode="External"/><Relationship Id="rId32" Type="http://schemas.openxmlformats.org/officeDocument/2006/relationships/hyperlink" Target="http://www.gaimpresos.com/Periodicos/La%20Jornada%20De%20Mexico/2024-04-18/A_43.pdf" TargetMode="External"/><Relationship Id="rId33" Type="http://schemas.openxmlformats.org/officeDocument/2006/relationships/hyperlink" Target="http://www.gaimpresos.com/Periodicos/Excelsior/2024-04-18/A_17.pdf" TargetMode="External"/><Relationship Id="rId34" Type="http://schemas.openxmlformats.org/officeDocument/2006/relationships/hyperlink" Target="http://www.gaimpresos.com/Periodicos/Veinticuatro%20Horas/2024-04-18/7_A.pdf" TargetMode="External"/><Relationship Id="rId35" Type="http://schemas.openxmlformats.org/officeDocument/2006/relationships/hyperlink" Target="http://www.gaimpresos.com/Periodicos/La%20cronica/2024-04-18/A_13.pdf" TargetMode="External"/><Relationship Id="rId36" Type="http://schemas.openxmlformats.org/officeDocument/2006/relationships/hyperlink" Target="http://www.gaimpresos.com/Periodicos/El%20Reforma/2024-04-18/A_8.pdf" TargetMode="External"/><Relationship Id="rId37" Type="http://schemas.openxmlformats.org/officeDocument/2006/relationships/hyperlink" Target="http://www.gaimpresos.com/Periodicos/La%20Razon/2024-04-18/A_1.pdf" TargetMode="External"/><Relationship Id="rId38" Type="http://schemas.openxmlformats.org/officeDocument/2006/relationships/hyperlink" Target="http://www.gaimpresos.com/Periodicos/El%20Reforma/2024-04-18/A_9.pdf" TargetMode="External"/><Relationship Id="rId39" Type="http://schemas.openxmlformats.org/officeDocument/2006/relationships/hyperlink" Target="http://www.gaimpresos.com/Periodicos/El%20Heraldo%20de%20Mexico/2024-04-18/A_1.pdf" TargetMode="External"/><Relationship Id="rId40" Type="http://schemas.openxmlformats.org/officeDocument/2006/relationships/hyperlink" Target="http://www.gaimpresos.com/Periodicos/El%20Universal/2024-04-18/A_5.pdf" TargetMode="External"/><Relationship Id="rId41" Type="http://schemas.openxmlformats.org/officeDocument/2006/relationships/hyperlink" Target="http://www.gaimpresos.com/Periodicos/el%20sol%20de%20mexico/2024-04-18/A_16.pdf" TargetMode="External"/><Relationship Id="rId42" Type="http://schemas.openxmlformats.org/officeDocument/2006/relationships/hyperlink" Target="http://www.gaimpresos.com/Periodicos/El%20Universal/2024-04-18/A_11.pdf" TargetMode="External"/><Relationship Id="rId43" Type="http://schemas.openxmlformats.org/officeDocument/2006/relationships/hyperlink" Target="http://www.gaimpresos.com/Periodicos/El%20Universal/2024-04-18/A_24.pdf" TargetMode="External"/><Relationship Id="rId44" Type="http://schemas.openxmlformats.org/officeDocument/2006/relationships/hyperlink" Target="http://www.gaimpresos.com/Periodicos/Financiero/2024-04-18/A_1.pdf" TargetMode="External"/><Relationship Id="rId45" Type="http://schemas.openxmlformats.org/officeDocument/2006/relationships/hyperlink" Target="http://www.gaimpresos.com/Periodicos/El%20Universal/2024-04-18/A_25.pdf" TargetMode="External"/><Relationship Id="rId46" Type="http://schemas.openxmlformats.org/officeDocument/2006/relationships/hyperlink" Target="http://www.gaimpresos.com/Periodicos/El%20Reforma/2024-04-18/NEG_1.pdf" TargetMode="External"/><Relationship Id="rId47" Type="http://schemas.openxmlformats.org/officeDocument/2006/relationships/hyperlink" Target="http://www.gaimpresos.com/Periodicos/Excelsior/2024-04-18/A_28.pdf" TargetMode="External"/><Relationship Id="rId48" Type="http://schemas.openxmlformats.org/officeDocument/2006/relationships/hyperlink" Target="http://www.gaimpresos.com/Periodicos/El%20Universal/2024-04-18/A_8.pdf" TargetMode="External"/><Relationship Id="rId49" Type="http://schemas.openxmlformats.org/officeDocument/2006/relationships/hyperlink" Target="http://www.gaimpresos.com/Periodicos/El%20Universal/2024-04-18/A_9.pdf" TargetMode="External"/><Relationship Id="rId50" Type="http://schemas.openxmlformats.org/officeDocument/2006/relationships/hyperlink" Target="http://www.gaimpresos.com/Periodicos/El%20Reforma/2024-04-18/A_4.pdf" TargetMode="External"/><Relationship Id="rId51" Type="http://schemas.openxmlformats.org/officeDocument/2006/relationships/hyperlink" Target="http://www.gaimpresos.com/Periodicos/Excelsior/2024-04-18/A_12.pdf" TargetMode="External"/><Relationship Id="rId52" Type="http://schemas.openxmlformats.org/officeDocument/2006/relationships/hyperlink" Target="http://www.gaimpresos.com/Periodicos/El%20Universal/2024-04-18/A_14.pdf" TargetMode="External"/><Relationship Id="rId53" Type="http://schemas.openxmlformats.org/officeDocument/2006/relationships/hyperlink" Target="http://www.gaimpresos.com/Periodicos/El%20Universal/2024-04-18/A_15.pdf" TargetMode="External"/><Relationship Id="rId54" Type="http://schemas.openxmlformats.org/officeDocument/2006/relationships/hyperlink" Target="http://www.gaimpresos.com/Periodicos/Excelsior/2024-04-18/A_14.pdf" TargetMode="External"/><Relationship Id="rId55" Type="http://schemas.openxmlformats.org/officeDocument/2006/relationships/hyperlink" Target="http://www.gaimpresos.com/Periodicos/El%20Universal/2024-04-18/A_22.pdf" TargetMode="External"/><Relationship Id="rId56" Type="http://schemas.openxmlformats.org/officeDocument/2006/relationships/hyperlink" Target="http://www.gaimpresos.com/Periodicos/El%20Reforma/2024-04-18/CIU_4.pdf" TargetMode="External"/><Relationship Id="rId57" Type="http://schemas.openxmlformats.org/officeDocument/2006/relationships/hyperlink" Target="http://www.gaimpresos.com/Periodicos/El%20Universal/2024-04-18/A_17.pdf" TargetMode="External"/><Relationship Id="rId58" Type="http://schemas.openxmlformats.org/officeDocument/2006/relationships/hyperlink" Target="http://www.gaimpresos.com/Periodicos/El%20Reforma/2024-04-18/A_15.pdf" TargetMode="External"/><Relationship Id="rId59" Type="http://schemas.openxmlformats.org/officeDocument/2006/relationships/header" Target="header1.xml"/><Relationship Id="rId6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2025-12-06T12:49:13-06:00</dcterms:created>
  <dcterms:modified xsi:type="dcterms:W3CDTF">2025-12-06T12:49:13-06:00</dcterms:modified>
</cp:coreProperties>
</file>

<file path=docProps/custom.xml><?xml version="1.0" encoding="utf-8"?>
<Properties xmlns="http://schemas.openxmlformats.org/officeDocument/2006/custom-properties" xmlns:vt="http://schemas.openxmlformats.org/officeDocument/2006/docPropsVTypes"/>
</file>